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B15" w:rsidRDefault="00DB0EAA" w:rsidP="00955308">
      <w:r>
        <w:rPr>
          <w:noProof/>
          <w:lang w:eastAsia="es-CR"/>
        </w:rPr>
        <mc:AlternateContent>
          <mc:Choice Requires="wps">
            <w:drawing>
              <wp:anchor distT="0" distB="0" distL="114300" distR="114300" simplePos="0" relativeHeight="251660288" behindDoc="0" locked="0" layoutInCell="1" allowOverlap="1">
                <wp:simplePos x="0" y="0"/>
                <wp:positionH relativeFrom="column">
                  <wp:posOffset>502285</wp:posOffset>
                </wp:positionH>
                <wp:positionV relativeFrom="paragraph">
                  <wp:posOffset>1905</wp:posOffset>
                </wp:positionV>
                <wp:extent cx="7284720" cy="61722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617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F5F5C" w:rsidRDefault="00CF5F5C" w:rsidP="0005699B">
                            <w:pPr>
                              <w:pStyle w:val="NormalWeb"/>
                              <w:jc w:val="center"/>
                              <w:rPr>
                                <w:color w:val="336699"/>
                                <w:sz w:val="72"/>
                                <w:szCs w:val="72"/>
                                <w14:shadow w14:blurRad="50800" w14:dist="38100" w14:dir="2700000" w14:sx="100000" w14:sy="100000" w14:kx="0" w14:ky="0" w14:algn="tl">
                                  <w14:srgbClr w14:val="000000">
                                    <w14:alpha w14:val="60000"/>
                                  </w14:srgbClr>
                                </w14:shadow>
                              </w:rPr>
                            </w:pPr>
                            <w:r w:rsidRPr="00DB0EAA">
                              <w:rPr>
                                <w:color w:val="336699"/>
                                <w:sz w:val="72"/>
                                <w:szCs w:val="72"/>
                                <w14:shadow w14:blurRad="50800" w14:dist="38100" w14:dir="2700000" w14:sx="100000" w14:sy="100000" w14:kx="0" w14:ky="0" w14:algn="tl">
                                  <w14:srgbClr w14:val="000000">
                                    <w14:alpha w14:val="60000"/>
                                  </w14:srgbClr>
                                </w14:shadow>
                              </w:rPr>
                              <w:t>Informes de Auditoría 2</w:t>
                            </w:r>
                            <w:r w:rsidR="00762DA6">
                              <w:rPr>
                                <w:color w:val="336699"/>
                                <w:sz w:val="72"/>
                                <w:szCs w:val="72"/>
                                <w14:shadow w14:blurRad="50800" w14:dist="38100" w14:dir="2700000" w14:sx="100000" w14:sy="100000" w14:kx="0" w14:ky="0" w14:algn="tl">
                                  <w14:srgbClr w14:val="000000">
                                    <w14:alpha w14:val="60000"/>
                                  </w14:srgbClr>
                                </w14:shadow>
                              </w:rPr>
                              <w:t>019</w:t>
                            </w:r>
                          </w:p>
                          <w:p w:rsidR="00F1613A" w:rsidRDefault="00A87701" w:rsidP="0005699B">
                            <w:pPr>
                              <w:pStyle w:val="NormalWeb"/>
                              <w:jc w:val="center"/>
                              <w:rPr>
                                <w:sz w:val="24"/>
                                <w:szCs w:val="24"/>
                              </w:rPr>
                            </w:pPr>
                            <w:r>
                              <w:rPr>
                                <w:color w:val="336699"/>
                                <w:sz w:val="72"/>
                                <w:szCs w:val="72"/>
                                <w14:shadow w14:blurRad="50800" w14:dist="38100" w14:dir="2700000" w14:sx="100000" w14:sy="100000" w14:kx="0" w14:ky="0" w14:algn="tl">
                                  <w14:srgbClr w14:val="000000">
                                    <w14:alpha w14:val="60000"/>
                                  </w14:srgbClr>
                                </w14:shadow>
                              </w:rPr>
                              <w:t>Asesoría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39.55pt;margin-top:.15pt;width:573.6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" filled="f" stroked="f">
                <v:stroke joinstyle="round"/>
                <o:lock v:ext="edit" shapetype="t"/>
                <v:textbox style="mso-fit-shape-to-text:t">
                  <w:txbxContent>
                    <w:p w:rsidR="00CF5F5C" w:rsidRDefault="00CF5F5C" w:rsidP="0005699B">
                      <w:pPr>
                        <w:pStyle w:val="NormalWeb"/>
                        <w:jc w:val="center"/>
                        <w:rPr>
                          <w:color w:val="336699"/>
                          <w:sz w:val="72"/>
                          <w:szCs w:val="72"/>
                          <w14:shadow w14:blurRad="50800" w14:dist="38100" w14:dir="2700000" w14:sx="100000" w14:sy="100000" w14:kx="0" w14:ky="0" w14:algn="tl">
                            <w14:srgbClr w14:val="000000">
                              <w14:alpha w14:val="60000"/>
                            </w14:srgbClr>
                          </w14:shadow>
                        </w:rPr>
                      </w:pPr>
                      <w:r w:rsidRPr="00DB0EAA">
                        <w:rPr>
                          <w:color w:val="336699"/>
                          <w:sz w:val="72"/>
                          <w:szCs w:val="72"/>
                          <w14:shadow w14:blurRad="50800" w14:dist="38100" w14:dir="2700000" w14:sx="100000" w14:sy="100000" w14:kx="0" w14:ky="0" w14:algn="tl">
                            <w14:srgbClr w14:val="000000">
                              <w14:alpha w14:val="60000"/>
                            </w14:srgbClr>
                          </w14:shadow>
                        </w:rPr>
                        <w:t>Informes de Auditoría 2</w:t>
                      </w:r>
                      <w:r w:rsidR="00762DA6">
                        <w:rPr>
                          <w:color w:val="336699"/>
                          <w:sz w:val="72"/>
                          <w:szCs w:val="72"/>
                          <w14:shadow w14:blurRad="50800" w14:dist="38100" w14:dir="2700000" w14:sx="100000" w14:sy="100000" w14:kx="0" w14:ky="0" w14:algn="tl">
                            <w14:srgbClr w14:val="000000">
                              <w14:alpha w14:val="60000"/>
                            </w14:srgbClr>
                          </w14:shadow>
                        </w:rPr>
                        <w:t>019</w:t>
                      </w:r>
                    </w:p>
                    <w:p w:rsidR="00F1613A" w:rsidRDefault="00A87701" w:rsidP="0005699B">
                      <w:pPr>
                        <w:pStyle w:val="NormalWeb"/>
                        <w:jc w:val="center"/>
                        <w:rPr>
                          <w:sz w:val="24"/>
                          <w:szCs w:val="24"/>
                        </w:rPr>
                      </w:pPr>
                      <w:r>
                        <w:rPr>
                          <w:color w:val="336699"/>
                          <w:sz w:val="72"/>
                          <w:szCs w:val="72"/>
                          <w14:shadow w14:blurRad="50800" w14:dist="38100" w14:dir="2700000" w14:sx="100000" w14:sy="100000" w14:kx="0" w14:ky="0" w14:algn="tl">
                            <w14:srgbClr w14:val="000000">
                              <w14:alpha w14:val="60000"/>
                            </w14:srgbClr>
                          </w14:shadow>
                        </w:rPr>
                        <w:t>Asesoría</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996"/>
      </w:tblGrid>
      <w:tr w:rsidR="000C13FC" w:rsidTr="000C13FC">
        <w:tc>
          <w:tcPr>
            <w:tcW w:w="13146" w:type="dxa"/>
          </w:tcPr>
          <w:p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r w:rsidR="001B7572" w:rsidRPr="00F26182">
              <w:rPr>
                <w:rFonts w:ascii="Comic Sans MS" w:hAnsi="Comic Sans MS"/>
                <w:b/>
                <w:sz w:val="28"/>
                <w:szCs w:val="28"/>
              </w:rPr>
              <w:t>Nº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rsidR="000C13FC" w:rsidRDefault="000C13FC" w:rsidP="00955308"/>
    <w:p w:rsidR="00762DA6" w:rsidRPr="001553D2" w:rsidRDefault="00762DA6" w:rsidP="001553D2">
      <w:pPr>
        <w:jc w:val="center"/>
        <w:rPr>
          <w:b/>
          <w:i/>
          <w:color w:val="7030A0"/>
          <w:sz w:val="32"/>
          <w:szCs w:val="32"/>
        </w:rPr>
      </w:pPr>
    </w:p>
    <w:tbl>
      <w:tblPr>
        <w:tblStyle w:val="Tablaconcuadrcula"/>
        <w:tblW w:w="13098" w:type="dxa"/>
        <w:tblLook w:val="04A0" w:firstRow="1" w:lastRow="0" w:firstColumn="1" w:lastColumn="0" w:noHBand="0" w:noVBand="1"/>
      </w:tblPr>
      <w:tblGrid>
        <w:gridCol w:w="1980"/>
        <w:gridCol w:w="5429"/>
        <w:gridCol w:w="3056"/>
        <w:gridCol w:w="2633"/>
      </w:tblGrid>
      <w:tr w:rsidR="00762DA6" w:rsidTr="004C3B97">
        <w:trPr>
          <w:tblHeader/>
        </w:trPr>
        <w:tc>
          <w:tcPr>
            <w:tcW w:w="1980" w:type="dxa"/>
          </w:tcPr>
          <w:p w:rsidR="00762DA6" w:rsidRPr="00FD4A35" w:rsidRDefault="00A542CA" w:rsidP="00A9508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Pr>
                <w:rFonts w:ascii="Baskerville Old Face" w:hAnsi="Baskerville Old Face"/>
                <w:b/>
                <w:i/>
                <w:sz w:val="28"/>
                <w:szCs w:val="28"/>
                <w:lang w:val="es-ES_tradnl"/>
              </w:rPr>
              <w:t>C</w:t>
            </w:r>
            <w:r w:rsidR="001A4E85">
              <w:rPr>
                <w:rFonts w:ascii="Baskerville Old Face" w:hAnsi="Baskerville Old Face"/>
                <w:b/>
                <w:i/>
                <w:sz w:val="28"/>
                <w:szCs w:val="28"/>
                <w:lang w:val="es-ES_tradnl"/>
              </w:rPr>
              <w:t>onsecutivo</w:t>
            </w:r>
          </w:p>
        </w:tc>
        <w:tc>
          <w:tcPr>
            <w:tcW w:w="5429" w:type="dxa"/>
          </w:tcPr>
          <w:p w:rsidR="00762DA6" w:rsidRPr="00FD4A35" w:rsidRDefault="00762DA6" w:rsidP="00E56FF7">
            <w:pPr>
              <w:tabs>
                <w:tab w:val="left" w:pos="-720"/>
                <w:tab w:val="left" w:pos="0"/>
                <w:tab w:val="left" w:pos="708"/>
                <w:tab w:val="left" w:pos="1416"/>
                <w:tab w:val="left" w:pos="2124"/>
                <w:tab w:val="left" w:pos="2832"/>
                <w:tab w:val="left" w:pos="3540"/>
                <w:tab w:val="left" w:pos="424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Descripción</w:t>
            </w:r>
          </w:p>
        </w:tc>
        <w:tc>
          <w:tcPr>
            <w:tcW w:w="3056" w:type="dxa"/>
          </w:tcPr>
          <w:p w:rsidR="00762DA6" w:rsidRPr="00FD4A35" w:rsidRDefault="00762DA6" w:rsidP="00E56FF7">
            <w:pPr>
              <w:tabs>
                <w:tab w:val="left" w:pos="-720"/>
                <w:tab w:val="left" w:pos="0"/>
                <w:tab w:val="left" w:pos="708"/>
                <w:tab w:val="left" w:pos="1416"/>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Nº Informe</w:t>
            </w:r>
          </w:p>
        </w:tc>
        <w:tc>
          <w:tcPr>
            <w:tcW w:w="2633" w:type="dxa"/>
          </w:tcPr>
          <w:p w:rsidR="00762DA6" w:rsidRPr="00FD4A35" w:rsidRDefault="00762DA6" w:rsidP="00E56FF7">
            <w:pPr>
              <w:tabs>
                <w:tab w:val="left" w:pos="-720"/>
                <w:tab w:val="left" w:pos="0"/>
                <w:tab w:val="left" w:pos="708"/>
              </w:tabs>
              <w:snapToGrid w:val="0"/>
              <w:jc w:val="center"/>
              <w:rPr>
                <w:rFonts w:ascii="Baskerville Old Face" w:hAnsi="Baskerville Old Face"/>
                <w:b/>
                <w:i/>
                <w:sz w:val="28"/>
                <w:szCs w:val="28"/>
                <w:lang w:val="es-ES_tradnl"/>
              </w:rPr>
            </w:pPr>
            <w:r w:rsidRPr="00FD4A35">
              <w:rPr>
                <w:rFonts w:ascii="Baskerville Old Face" w:hAnsi="Baskerville Old Face"/>
                <w:b/>
                <w:i/>
                <w:sz w:val="28"/>
                <w:szCs w:val="28"/>
                <w:lang w:val="es-ES_tradnl"/>
              </w:rPr>
              <w:t>Fecha de informe</w:t>
            </w:r>
          </w:p>
        </w:tc>
      </w:tr>
      <w:tr w:rsidR="00CE11B2" w:rsidTr="001A4E85">
        <w:tc>
          <w:tcPr>
            <w:tcW w:w="1980" w:type="dxa"/>
          </w:tcPr>
          <w:p w:rsidR="00CE11B2" w:rsidRPr="00604CE8" w:rsidRDefault="00CE11B2" w:rsidP="00CE11B2">
            <w:pPr>
              <w:jc w:val="center"/>
              <w:rPr>
                <w:sz w:val="20"/>
                <w:szCs w:val="20"/>
              </w:rPr>
            </w:pPr>
            <w:r>
              <w:rPr>
                <w:sz w:val="20"/>
                <w:szCs w:val="20"/>
              </w:rPr>
              <w:t>1</w:t>
            </w:r>
          </w:p>
        </w:tc>
        <w:tc>
          <w:tcPr>
            <w:tcW w:w="5429" w:type="dxa"/>
          </w:tcPr>
          <w:p w:rsidR="00CE11B2" w:rsidRPr="004A76E8" w:rsidRDefault="00CE11B2" w:rsidP="00CE11B2">
            <w:r w:rsidRPr="004A76E8">
              <w:t xml:space="preserve">Asesoría al Juzgado Civil de Puntarenas, </w:t>
            </w:r>
            <w:r w:rsidRPr="004A76E8">
              <w:rPr>
                <w:rFonts w:cs="Arial"/>
              </w:rPr>
              <w:t>en cuanto al traslado de recursos económicos al Régimen No Contributivo de la Caja Costarricense de Seguro Social de procesos en estado de abandono o concluidos</w:t>
            </w:r>
          </w:p>
        </w:tc>
        <w:tc>
          <w:tcPr>
            <w:tcW w:w="3056" w:type="dxa"/>
          </w:tcPr>
          <w:p w:rsidR="00CE11B2" w:rsidRPr="004A76E8" w:rsidRDefault="00CE11B2" w:rsidP="00CE11B2">
            <w:r w:rsidRPr="004A76E8">
              <w:t>240-10-SAEEC-2019</w:t>
            </w:r>
          </w:p>
        </w:tc>
        <w:tc>
          <w:tcPr>
            <w:tcW w:w="2633" w:type="dxa"/>
          </w:tcPr>
          <w:p w:rsidR="00CE11B2" w:rsidRPr="004A76E8" w:rsidRDefault="00CE11B2" w:rsidP="00CE11B2">
            <w:r w:rsidRPr="004A76E8">
              <w:t>01-03-2019</w:t>
            </w:r>
          </w:p>
        </w:tc>
      </w:tr>
      <w:tr w:rsidR="00CE11B2" w:rsidTr="001A4E85">
        <w:tc>
          <w:tcPr>
            <w:tcW w:w="1980" w:type="dxa"/>
          </w:tcPr>
          <w:p w:rsidR="00CE11B2" w:rsidRPr="00070D6A" w:rsidRDefault="00CE11B2" w:rsidP="00CE11B2">
            <w:pPr>
              <w:jc w:val="center"/>
            </w:pPr>
            <w:r>
              <w:t>2</w:t>
            </w:r>
          </w:p>
        </w:tc>
        <w:tc>
          <w:tcPr>
            <w:tcW w:w="5429" w:type="dxa"/>
          </w:tcPr>
          <w:p w:rsidR="00CE11B2" w:rsidRPr="004A76E8" w:rsidRDefault="00CE11B2" w:rsidP="00CE11B2">
            <w:pPr>
              <w:jc w:val="both"/>
            </w:pPr>
            <w:r w:rsidRPr="004A76E8">
              <w:t xml:space="preserve">Asesoría </w:t>
            </w:r>
            <w:r w:rsidRPr="004A76E8">
              <w:rPr>
                <w:rFonts w:cs="Arial"/>
              </w:rPr>
              <w:t>en relación con la autorización y el giro de depósitos con saldo, de expedientes que con motivo de la entrada en vigencia de la Reforma Procesal Civil, fueron migrados de los Juzgados de Menor Cuantía de San Carlos</w:t>
            </w:r>
          </w:p>
        </w:tc>
        <w:tc>
          <w:tcPr>
            <w:tcW w:w="3056" w:type="dxa"/>
          </w:tcPr>
          <w:p w:rsidR="00CE11B2" w:rsidRPr="004A76E8" w:rsidRDefault="00CE11B2" w:rsidP="00CE11B2">
            <w:r w:rsidRPr="004A76E8">
              <w:t>241-11-SAEEC-2019</w:t>
            </w:r>
          </w:p>
        </w:tc>
        <w:tc>
          <w:tcPr>
            <w:tcW w:w="2633" w:type="dxa"/>
          </w:tcPr>
          <w:p w:rsidR="00CE11B2" w:rsidRPr="004A76E8" w:rsidRDefault="00CE11B2" w:rsidP="00CE11B2">
            <w:r w:rsidRPr="004A76E8">
              <w:t>01-03-2019</w:t>
            </w:r>
          </w:p>
        </w:tc>
      </w:tr>
      <w:tr w:rsidR="004E2C25" w:rsidTr="001A4E85">
        <w:tc>
          <w:tcPr>
            <w:tcW w:w="1980" w:type="dxa"/>
          </w:tcPr>
          <w:p w:rsidR="004E2C25" w:rsidRPr="004E2C25" w:rsidRDefault="004E2C25" w:rsidP="00A95087">
            <w:pPr>
              <w:jc w:val="center"/>
            </w:pPr>
          </w:p>
        </w:tc>
        <w:tc>
          <w:tcPr>
            <w:tcW w:w="5429" w:type="dxa"/>
          </w:tcPr>
          <w:p w:rsidR="004E2C25" w:rsidRPr="004E2C25" w:rsidRDefault="004E2C25" w:rsidP="004E2C25">
            <w:pPr>
              <w:jc w:val="both"/>
            </w:pPr>
          </w:p>
        </w:tc>
        <w:tc>
          <w:tcPr>
            <w:tcW w:w="3056" w:type="dxa"/>
          </w:tcPr>
          <w:p w:rsidR="004E2C25" w:rsidRPr="004E2C25" w:rsidRDefault="004E2C25" w:rsidP="004E2C25"/>
        </w:tc>
        <w:tc>
          <w:tcPr>
            <w:tcW w:w="2633" w:type="dxa"/>
          </w:tcPr>
          <w:p w:rsidR="004E2C25" w:rsidRPr="004E2C25" w:rsidRDefault="004E2C25" w:rsidP="004E2C25"/>
        </w:tc>
      </w:tr>
      <w:tr w:rsidR="00CC71FB" w:rsidTr="001A4E85">
        <w:tc>
          <w:tcPr>
            <w:tcW w:w="1980" w:type="dxa"/>
          </w:tcPr>
          <w:p w:rsidR="00CC71FB" w:rsidRPr="00604CE8" w:rsidRDefault="00CC71FB" w:rsidP="00A95087">
            <w:pPr>
              <w:jc w:val="center"/>
              <w:rPr>
                <w:sz w:val="20"/>
                <w:szCs w:val="20"/>
              </w:rPr>
            </w:pPr>
          </w:p>
        </w:tc>
        <w:tc>
          <w:tcPr>
            <w:tcW w:w="5429" w:type="dxa"/>
          </w:tcPr>
          <w:p w:rsidR="00CC71FB" w:rsidRPr="00F75C08" w:rsidRDefault="00CC71FB" w:rsidP="00CC71FB">
            <w:pPr>
              <w:jc w:val="both"/>
              <w:rPr>
                <w:sz w:val="20"/>
                <w:szCs w:val="20"/>
              </w:rPr>
            </w:pPr>
          </w:p>
        </w:tc>
        <w:tc>
          <w:tcPr>
            <w:tcW w:w="3056" w:type="dxa"/>
          </w:tcPr>
          <w:p w:rsidR="00CC71FB" w:rsidRPr="00604CE8" w:rsidRDefault="00CC71FB" w:rsidP="00CC71FB">
            <w:pPr>
              <w:rPr>
                <w:sz w:val="20"/>
                <w:szCs w:val="20"/>
              </w:rPr>
            </w:pPr>
          </w:p>
        </w:tc>
        <w:tc>
          <w:tcPr>
            <w:tcW w:w="2633" w:type="dxa"/>
          </w:tcPr>
          <w:p w:rsidR="00CC71FB" w:rsidRPr="00604CE8" w:rsidRDefault="00CC71FB" w:rsidP="00CC71FB">
            <w:pPr>
              <w:rPr>
                <w:sz w:val="20"/>
                <w:szCs w:val="20"/>
              </w:rPr>
            </w:pPr>
          </w:p>
        </w:tc>
      </w:tr>
      <w:tr w:rsidR="00CC71FB" w:rsidTr="001A4E85">
        <w:tc>
          <w:tcPr>
            <w:tcW w:w="1980" w:type="dxa"/>
          </w:tcPr>
          <w:p w:rsidR="00CC71FB" w:rsidRPr="004125C2" w:rsidRDefault="00CC71FB" w:rsidP="00A95087">
            <w:pPr>
              <w:jc w:val="center"/>
            </w:pPr>
          </w:p>
        </w:tc>
        <w:tc>
          <w:tcPr>
            <w:tcW w:w="5429" w:type="dxa"/>
          </w:tcPr>
          <w:p w:rsidR="00CC71FB" w:rsidRPr="00265CDD" w:rsidRDefault="00CC71FB" w:rsidP="00CC71FB">
            <w:pPr>
              <w:jc w:val="both"/>
            </w:pPr>
          </w:p>
        </w:tc>
        <w:tc>
          <w:tcPr>
            <w:tcW w:w="3056" w:type="dxa"/>
          </w:tcPr>
          <w:p w:rsidR="00CC71FB" w:rsidRPr="004125C2" w:rsidRDefault="00CC71FB" w:rsidP="00CC71FB"/>
        </w:tc>
        <w:tc>
          <w:tcPr>
            <w:tcW w:w="2633" w:type="dxa"/>
          </w:tcPr>
          <w:p w:rsidR="00CC71FB" w:rsidRPr="004125C2" w:rsidRDefault="00CC71FB" w:rsidP="00CC71FB"/>
        </w:tc>
      </w:tr>
      <w:tr w:rsidR="00B64F28" w:rsidTr="001A4E85">
        <w:trPr>
          <w:trHeight w:val="260"/>
        </w:trPr>
        <w:tc>
          <w:tcPr>
            <w:tcW w:w="1980" w:type="dxa"/>
          </w:tcPr>
          <w:p w:rsidR="00B64F28" w:rsidRDefault="00B64F28" w:rsidP="00A95087">
            <w:pPr>
              <w:jc w:val="center"/>
            </w:pPr>
            <w:bookmarkStart w:id="0" w:name="_GoBack"/>
            <w:bookmarkEnd w:id="0"/>
          </w:p>
        </w:tc>
        <w:tc>
          <w:tcPr>
            <w:tcW w:w="5429" w:type="dxa"/>
          </w:tcPr>
          <w:p w:rsidR="00B64F28" w:rsidRDefault="00B64F28" w:rsidP="00CF5F5C"/>
        </w:tc>
        <w:tc>
          <w:tcPr>
            <w:tcW w:w="3056" w:type="dxa"/>
          </w:tcPr>
          <w:p w:rsidR="00B64F28" w:rsidRPr="00121114" w:rsidRDefault="00B64F28" w:rsidP="00CF5F5C"/>
        </w:tc>
        <w:tc>
          <w:tcPr>
            <w:tcW w:w="2633" w:type="dxa"/>
          </w:tcPr>
          <w:p w:rsidR="00B64F28" w:rsidRPr="00121114" w:rsidRDefault="00B64F28" w:rsidP="00CF5F5C"/>
        </w:tc>
      </w:tr>
      <w:tr w:rsidR="00B64F28" w:rsidTr="001A4E85">
        <w:trPr>
          <w:trHeight w:val="260"/>
        </w:trPr>
        <w:tc>
          <w:tcPr>
            <w:tcW w:w="1980" w:type="dxa"/>
          </w:tcPr>
          <w:p w:rsidR="00B64F28" w:rsidRDefault="00B64F28" w:rsidP="00A95087">
            <w:pPr>
              <w:jc w:val="center"/>
            </w:pPr>
          </w:p>
        </w:tc>
        <w:tc>
          <w:tcPr>
            <w:tcW w:w="5429" w:type="dxa"/>
          </w:tcPr>
          <w:p w:rsidR="00B64F28" w:rsidRDefault="00B64F28" w:rsidP="00CF5F5C"/>
        </w:tc>
        <w:tc>
          <w:tcPr>
            <w:tcW w:w="3056" w:type="dxa"/>
          </w:tcPr>
          <w:p w:rsidR="00B64F28" w:rsidRPr="00121114" w:rsidRDefault="00B64F28" w:rsidP="00CF5F5C"/>
        </w:tc>
        <w:tc>
          <w:tcPr>
            <w:tcW w:w="2633" w:type="dxa"/>
          </w:tcPr>
          <w:p w:rsidR="00B64F28" w:rsidRPr="00121114" w:rsidRDefault="00B64F28" w:rsidP="00CF5F5C"/>
        </w:tc>
      </w:tr>
      <w:tr w:rsidR="00B64F28" w:rsidTr="001A4E85">
        <w:trPr>
          <w:trHeight w:val="260"/>
        </w:trPr>
        <w:tc>
          <w:tcPr>
            <w:tcW w:w="1980" w:type="dxa"/>
          </w:tcPr>
          <w:p w:rsidR="00B64F28" w:rsidRDefault="00B64F28" w:rsidP="00A95087">
            <w:pPr>
              <w:jc w:val="center"/>
            </w:pPr>
          </w:p>
        </w:tc>
        <w:tc>
          <w:tcPr>
            <w:tcW w:w="5429" w:type="dxa"/>
          </w:tcPr>
          <w:p w:rsidR="00B64F28" w:rsidRDefault="00B64F28" w:rsidP="00CF5F5C"/>
        </w:tc>
        <w:tc>
          <w:tcPr>
            <w:tcW w:w="3056" w:type="dxa"/>
          </w:tcPr>
          <w:p w:rsidR="00B64F28" w:rsidRPr="00121114" w:rsidRDefault="00B64F28" w:rsidP="00CF5F5C"/>
        </w:tc>
        <w:tc>
          <w:tcPr>
            <w:tcW w:w="2633" w:type="dxa"/>
          </w:tcPr>
          <w:p w:rsidR="00B64F28" w:rsidRPr="00121114" w:rsidRDefault="00B64F28" w:rsidP="00CF5F5C"/>
        </w:tc>
      </w:tr>
    </w:tbl>
    <w:p w:rsidR="004932B9" w:rsidRDefault="004932B9"/>
    <w:p w:rsidR="00762DA6" w:rsidRDefault="00762DA6">
      <w:pPr>
        <w:sectPr w:rsidR="00762DA6" w:rsidSect="004932B9">
          <w:pgSz w:w="15840" w:h="12240" w:orient="landscape"/>
          <w:pgMar w:top="1701" w:right="1417" w:bottom="1701" w:left="1417" w:header="708" w:footer="708" w:gutter="0"/>
          <w:cols w:space="708"/>
          <w:docGrid w:linePitch="360"/>
        </w:sectPr>
      </w:pPr>
    </w:p>
    <w:p w:rsidR="00762DA6" w:rsidRDefault="00762DA6" w:rsidP="00762DA6"/>
    <w:p w:rsidR="00762DA6" w:rsidRDefault="00762DA6"/>
    <w:p w:rsidR="00762DA6" w:rsidRDefault="00762DA6"/>
    <w:sectPr w:rsidR="00762DA6"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F5C" w:rsidRDefault="00CF5F5C" w:rsidP="00F3503F">
      <w:pPr>
        <w:spacing w:after="0" w:line="240" w:lineRule="auto"/>
      </w:pPr>
      <w:r>
        <w:separator/>
      </w:r>
    </w:p>
  </w:endnote>
  <w:endnote w:type="continuationSeparator" w:id="0">
    <w:p w:rsidR="00CF5F5C" w:rsidRDefault="00CF5F5C"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F5C" w:rsidRDefault="00CF5F5C" w:rsidP="00F3503F">
      <w:pPr>
        <w:spacing w:after="0" w:line="240" w:lineRule="auto"/>
      </w:pPr>
      <w:r>
        <w:separator/>
      </w:r>
    </w:p>
  </w:footnote>
  <w:footnote w:type="continuationSeparator" w:id="0">
    <w:p w:rsidR="00CF5F5C" w:rsidRDefault="00CF5F5C"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B9"/>
    <w:rsid w:val="00000C04"/>
    <w:rsid w:val="000228D1"/>
    <w:rsid w:val="00022C72"/>
    <w:rsid w:val="000337DD"/>
    <w:rsid w:val="00034795"/>
    <w:rsid w:val="0005699B"/>
    <w:rsid w:val="00056A6B"/>
    <w:rsid w:val="00066003"/>
    <w:rsid w:val="000720D0"/>
    <w:rsid w:val="00075255"/>
    <w:rsid w:val="0008281E"/>
    <w:rsid w:val="00084707"/>
    <w:rsid w:val="00095B6F"/>
    <w:rsid w:val="000A32CC"/>
    <w:rsid w:val="000A4162"/>
    <w:rsid w:val="000B69F0"/>
    <w:rsid w:val="000C0BE1"/>
    <w:rsid w:val="000C13FC"/>
    <w:rsid w:val="000C2610"/>
    <w:rsid w:val="000D0FBE"/>
    <w:rsid w:val="000E7FE0"/>
    <w:rsid w:val="000F1FEB"/>
    <w:rsid w:val="000F4229"/>
    <w:rsid w:val="000F6291"/>
    <w:rsid w:val="0012114F"/>
    <w:rsid w:val="00132787"/>
    <w:rsid w:val="00135873"/>
    <w:rsid w:val="001553D2"/>
    <w:rsid w:val="00157763"/>
    <w:rsid w:val="00166BEA"/>
    <w:rsid w:val="001771AB"/>
    <w:rsid w:val="0017780C"/>
    <w:rsid w:val="0018077F"/>
    <w:rsid w:val="00185E4E"/>
    <w:rsid w:val="0019647E"/>
    <w:rsid w:val="00196769"/>
    <w:rsid w:val="001A4E85"/>
    <w:rsid w:val="001B2203"/>
    <w:rsid w:val="001B5D2C"/>
    <w:rsid w:val="001B7572"/>
    <w:rsid w:val="002045D8"/>
    <w:rsid w:val="002448ED"/>
    <w:rsid w:val="00265CDD"/>
    <w:rsid w:val="00282DCC"/>
    <w:rsid w:val="00294BFB"/>
    <w:rsid w:val="002B27C8"/>
    <w:rsid w:val="002C6A97"/>
    <w:rsid w:val="002D4684"/>
    <w:rsid w:val="002E6E33"/>
    <w:rsid w:val="00302677"/>
    <w:rsid w:val="00302F63"/>
    <w:rsid w:val="00305511"/>
    <w:rsid w:val="003212FC"/>
    <w:rsid w:val="00322AE7"/>
    <w:rsid w:val="0034022F"/>
    <w:rsid w:val="003652EB"/>
    <w:rsid w:val="00366CF7"/>
    <w:rsid w:val="003A1B57"/>
    <w:rsid w:val="003A2BA1"/>
    <w:rsid w:val="003A72E4"/>
    <w:rsid w:val="003B2596"/>
    <w:rsid w:val="003B45C5"/>
    <w:rsid w:val="003D1049"/>
    <w:rsid w:val="003E27FD"/>
    <w:rsid w:val="003E2D59"/>
    <w:rsid w:val="003E468D"/>
    <w:rsid w:val="003F53F0"/>
    <w:rsid w:val="0040250E"/>
    <w:rsid w:val="00402F77"/>
    <w:rsid w:val="004079CD"/>
    <w:rsid w:val="004154AD"/>
    <w:rsid w:val="00415E6D"/>
    <w:rsid w:val="0041698B"/>
    <w:rsid w:val="00440F88"/>
    <w:rsid w:val="00447D08"/>
    <w:rsid w:val="00453187"/>
    <w:rsid w:val="004539D9"/>
    <w:rsid w:val="00453D13"/>
    <w:rsid w:val="00455C6E"/>
    <w:rsid w:val="00464C60"/>
    <w:rsid w:val="00477F01"/>
    <w:rsid w:val="00487A4F"/>
    <w:rsid w:val="00490E9D"/>
    <w:rsid w:val="004932B9"/>
    <w:rsid w:val="00495E84"/>
    <w:rsid w:val="004A127C"/>
    <w:rsid w:val="004A1E01"/>
    <w:rsid w:val="004C3B97"/>
    <w:rsid w:val="004E2C25"/>
    <w:rsid w:val="004F3C2E"/>
    <w:rsid w:val="00515A77"/>
    <w:rsid w:val="00527F8E"/>
    <w:rsid w:val="00530D80"/>
    <w:rsid w:val="005501AD"/>
    <w:rsid w:val="00552DF3"/>
    <w:rsid w:val="005535CB"/>
    <w:rsid w:val="00571061"/>
    <w:rsid w:val="00574F1C"/>
    <w:rsid w:val="005759FE"/>
    <w:rsid w:val="00586180"/>
    <w:rsid w:val="005B727A"/>
    <w:rsid w:val="005B7A65"/>
    <w:rsid w:val="005C1FD2"/>
    <w:rsid w:val="005D0B90"/>
    <w:rsid w:val="005D357A"/>
    <w:rsid w:val="005E3E61"/>
    <w:rsid w:val="005E52A6"/>
    <w:rsid w:val="005F3D33"/>
    <w:rsid w:val="005F46A8"/>
    <w:rsid w:val="005F78C7"/>
    <w:rsid w:val="006249D1"/>
    <w:rsid w:val="00630466"/>
    <w:rsid w:val="0064256B"/>
    <w:rsid w:val="00660625"/>
    <w:rsid w:val="00681FA8"/>
    <w:rsid w:val="006A3785"/>
    <w:rsid w:val="006A4C25"/>
    <w:rsid w:val="006C0259"/>
    <w:rsid w:val="006F09E2"/>
    <w:rsid w:val="006F0B6F"/>
    <w:rsid w:val="006F14D7"/>
    <w:rsid w:val="00700DA8"/>
    <w:rsid w:val="007049AA"/>
    <w:rsid w:val="007344A4"/>
    <w:rsid w:val="007508C1"/>
    <w:rsid w:val="0076271F"/>
    <w:rsid w:val="00762DA6"/>
    <w:rsid w:val="007901E5"/>
    <w:rsid w:val="00790740"/>
    <w:rsid w:val="00791488"/>
    <w:rsid w:val="00797130"/>
    <w:rsid w:val="007A6ED0"/>
    <w:rsid w:val="007C21FD"/>
    <w:rsid w:val="007C45B8"/>
    <w:rsid w:val="007D4E29"/>
    <w:rsid w:val="007D5CB5"/>
    <w:rsid w:val="007E1861"/>
    <w:rsid w:val="008061D2"/>
    <w:rsid w:val="00812D82"/>
    <w:rsid w:val="00814DC3"/>
    <w:rsid w:val="00836094"/>
    <w:rsid w:val="008401CF"/>
    <w:rsid w:val="008404EC"/>
    <w:rsid w:val="0084126C"/>
    <w:rsid w:val="00844227"/>
    <w:rsid w:val="008742A1"/>
    <w:rsid w:val="00875F28"/>
    <w:rsid w:val="00876384"/>
    <w:rsid w:val="00892D9D"/>
    <w:rsid w:val="008B3971"/>
    <w:rsid w:val="008E2018"/>
    <w:rsid w:val="008F3459"/>
    <w:rsid w:val="00904D6E"/>
    <w:rsid w:val="00913109"/>
    <w:rsid w:val="00931433"/>
    <w:rsid w:val="00954907"/>
    <w:rsid w:val="00955308"/>
    <w:rsid w:val="009556B0"/>
    <w:rsid w:val="00965386"/>
    <w:rsid w:val="00981A4A"/>
    <w:rsid w:val="009B2761"/>
    <w:rsid w:val="009C631D"/>
    <w:rsid w:val="009C74AA"/>
    <w:rsid w:val="009D3256"/>
    <w:rsid w:val="009E7E80"/>
    <w:rsid w:val="009F21CA"/>
    <w:rsid w:val="009F2B15"/>
    <w:rsid w:val="009F6043"/>
    <w:rsid w:val="00A11A77"/>
    <w:rsid w:val="00A15E90"/>
    <w:rsid w:val="00A30B4F"/>
    <w:rsid w:val="00A3681A"/>
    <w:rsid w:val="00A41153"/>
    <w:rsid w:val="00A542CA"/>
    <w:rsid w:val="00A5611F"/>
    <w:rsid w:val="00A81C73"/>
    <w:rsid w:val="00A857C0"/>
    <w:rsid w:val="00A87701"/>
    <w:rsid w:val="00A95087"/>
    <w:rsid w:val="00AA02E3"/>
    <w:rsid w:val="00AB4F7F"/>
    <w:rsid w:val="00AC1425"/>
    <w:rsid w:val="00AC3CAA"/>
    <w:rsid w:val="00AF0458"/>
    <w:rsid w:val="00AF387A"/>
    <w:rsid w:val="00B10F4D"/>
    <w:rsid w:val="00B119DA"/>
    <w:rsid w:val="00B16197"/>
    <w:rsid w:val="00B1724B"/>
    <w:rsid w:val="00B43687"/>
    <w:rsid w:val="00B452FB"/>
    <w:rsid w:val="00B53BB0"/>
    <w:rsid w:val="00B64F28"/>
    <w:rsid w:val="00B9474B"/>
    <w:rsid w:val="00BB5DDF"/>
    <w:rsid w:val="00BB5F31"/>
    <w:rsid w:val="00BD0F07"/>
    <w:rsid w:val="00BE1417"/>
    <w:rsid w:val="00C059A6"/>
    <w:rsid w:val="00C202D3"/>
    <w:rsid w:val="00C26085"/>
    <w:rsid w:val="00C36E46"/>
    <w:rsid w:val="00C4082F"/>
    <w:rsid w:val="00C54052"/>
    <w:rsid w:val="00C56737"/>
    <w:rsid w:val="00C67F43"/>
    <w:rsid w:val="00C73BA1"/>
    <w:rsid w:val="00C7790D"/>
    <w:rsid w:val="00C80768"/>
    <w:rsid w:val="00CC1178"/>
    <w:rsid w:val="00CC71FB"/>
    <w:rsid w:val="00CD3AD3"/>
    <w:rsid w:val="00CE11B2"/>
    <w:rsid w:val="00CE7D51"/>
    <w:rsid w:val="00CF2BBB"/>
    <w:rsid w:val="00CF5F5C"/>
    <w:rsid w:val="00D00F0C"/>
    <w:rsid w:val="00D105BF"/>
    <w:rsid w:val="00D27ED1"/>
    <w:rsid w:val="00D82306"/>
    <w:rsid w:val="00D9128F"/>
    <w:rsid w:val="00D95D6A"/>
    <w:rsid w:val="00DA615F"/>
    <w:rsid w:val="00DB0EAA"/>
    <w:rsid w:val="00DD1BC7"/>
    <w:rsid w:val="00DE4AA1"/>
    <w:rsid w:val="00E05D8F"/>
    <w:rsid w:val="00E07784"/>
    <w:rsid w:val="00E16F67"/>
    <w:rsid w:val="00E17932"/>
    <w:rsid w:val="00E249C0"/>
    <w:rsid w:val="00E31DF8"/>
    <w:rsid w:val="00E56FF7"/>
    <w:rsid w:val="00E64519"/>
    <w:rsid w:val="00E750CD"/>
    <w:rsid w:val="00EB191F"/>
    <w:rsid w:val="00EC3595"/>
    <w:rsid w:val="00EC41C4"/>
    <w:rsid w:val="00EF2DE6"/>
    <w:rsid w:val="00EF3964"/>
    <w:rsid w:val="00F01A3E"/>
    <w:rsid w:val="00F12669"/>
    <w:rsid w:val="00F1613A"/>
    <w:rsid w:val="00F26182"/>
    <w:rsid w:val="00F3503F"/>
    <w:rsid w:val="00F43DD7"/>
    <w:rsid w:val="00F52972"/>
    <w:rsid w:val="00F53E14"/>
    <w:rsid w:val="00F56EB1"/>
    <w:rsid w:val="00F750D8"/>
    <w:rsid w:val="00F84DA6"/>
    <w:rsid w:val="00F9202E"/>
    <w:rsid w:val="00FC5A10"/>
    <w:rsid w:val="00FD5356"/>
    <w:rsid w:val="00FD54E4"/>
    <w:rsid w:val="00FE77E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A90BF8-D42B-4150-969E-A9DDBBBD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locked/>
    <w:rsid w:val="00B452F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9DAF9-6C3B-4353-8095-E05A6084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125</Words>
  <Characters>692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Lorena Rodriguez Salas</cp:lastModifiedBy>
  <cp:revision>5</cp:revision>
  <dcterms:created xsi:type="dcterms:W3CDTF">2019-03-11T19:22:00Z</dcterms:created>
  <dcterms:modified xsi:type="dcterms:W3CDTF">2019-03-12T16:51:00Z</dcterms:modified>
</cp:coreProperties>
</file>