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1F0CF70A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445F4F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1F0CF70A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445F4F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Nº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445F4F" w:rsidRPr="009E2C1C" w14:paraId="35F5861D" w14:textId="77777777" w:rsidTr="00D42B17">
        <w:trPr>
          <w:trHeight w:val="1177"/>
        </w:trPr>
        <w:tc>
          <w:tcPr>
            <w:tcW w:w="1512" w:type="dxa"/>
          </w:tcPr>
          <w:p w14:paraId="60A96020" w14:textId="074EC668" w:rsidR="00445F4F" w:rsidRPr="009E2C1C" w:rsidRDefault="00445F4F" w:rsidP="00445F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28F991AD" w14:textId="77777777" w:rsidR="00445F4F" w:rsidRPr="00143D4C" w:rsidRDefault="00445F4F" w:rsidP="00445F4F">
            <w:pPr>
              <w:jc w:val="both"/>
              <w:rPr>
                <w:rFonts w:cstheme="minorHAnsi"/>
                <w:spacing w:val="2"/>
                <w:lang w:val="es-ES_tradnl"/>
              </w:rPr>
            </w:pPr>
            <w:r w:rsidRPr="00143D4C">
              <w:rPr>
                <w:rFonts w:cstheme="minorHAnsi"/>
                <w:spacing w:val="2"/>
                <w:lang w:val="es-ES_tradnl"/>
              </w:rPr>
              <w:t>Informe de advertencia relacionado con la conveniencia de mantener el mecanismo de firma escaneada en las hojas de antecedentes penales solicitadas presencialmente</w: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begin"/>
            </w:r>
            <w:r w:rsidRPr="00143D4C">
              <w:rPr>
                <w:rFonts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143D4C">
              <w:rPr>
                <w:rFonts w:cstheme="minorHAnsi"/>
                <w:spacing w:val="2"/>
                <w:lang w:val="es-ES_tradnl"/>
              </w:rPr>
              <w:fldChar w:fldCharType="end"/>
            </w:r>
            <w:r w:rsidRPr="00143D4C">
              <w:rPr>
                <w:rFonts w:cstheme="minorHAnsi"/>
                <w:spacing w:val="2"/>
                <w:lang w:val="es-ES_tradnl"/>
              </w:rPr>
              <w:t>.</w:t>
            </w:r>
          </w:p>
          <w:p w14:paraId="5CD9A5AF" w14:textId="3AC91981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</w:tc>
        <w:tc>
          <w:tcPr>
            <w:tcW w:w="2489" w:type="dxa"/>
          </w:tcPr>
          <w:p w14:paraId="24B6004B" w14:textId="09566C59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82-07-IAD-SATI-2025</w:t>
            </w:r>
          </w:p>
        </w:tc>
        <w:tc>
          <w:tcPr>
            <w:tcW w:w="2251" w:type="dxa"/>
          </w:tcPr>
          <w:p w14:paraId="75360F4A" w14:textId="53874548" w:rsidR="00445F4F" w:rsidRPr="000B2116" w:rsidRDefault="00445F4F" w:rsidP="00445F4F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143D4C">
              <w:rPr>
                <w:rFonts w:eastAsia="Calibri" w:cstheme="minorHAnsi"/>
                <w:spacing w:val="2"/>
                <w:lang w:val="es-ES_tradnl"/>
              </w:rPr>
              <w:t>24-01-2025</w:t>
            </w:r>
          </w:p>
        </w:tc>
      </w:tr>
      <w:tr w:rsidR="00BB505C" w:rsidRPr="009E2C1C" w14:paraId="704ADB5F" w14:textId="77777777" w:rsidTr="000501F2">
        <w:tc>
          <w:tcPr>
            <w:tcW w:w="1512" w:type="dxa"/>
          </w:tcPr>
          <w:p w14:paraId="6E7CDFC3" w14:textId="6A402A54" w:rsidR="00BB505C" w:rsidRPr="009E2C1C" w:rsidRDefault="00BB505C" w:rsidP="00BB5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47A14050" w14:textId="67E31F25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45486B">
              <w:rPr>
                <w:rFonts w:cs="Arial"/>
                <w:lang w:val="es-ES_tradnl"/>
              </w:rPr>
              <w:t>“Informe de advertencia relativo a la publicación de las circulares 132-2004 y 211-2022 de la Secretaría General de la Corte sobre el Manual de Procedimientos relacionado con el trámite de remates”.</w:t>
            </w:r>
          </w:p>
        </w:tc>
        <w:tc>
          <w:tcPr>
            <w:tcW w:w="2489" w:type="dxa"/>
          </w:tcPr>
          <w:p w14:paraId="102D1C4D" w14:textId="0F2EAE81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125-06-IAD-SAEEC-2025</w:t>
            </w:r>
          </w:p>
        </w:tc>
        <w:tc>
          <w:tcPr>
            <w:tcW w:w="2251" w:type="dxa"/>
          </w:tcPr>
          <w:p w14:paraId="2DA36448" w14:textId="0CE93919" w:rsidR="00BB505C" w:rsidRPr="004C7B71" w:rsidRDefault="00BB505C" w:rsidP="00BB505C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lang w:val="es-ES_tradnl"/>
              </w:rPr>
              <w:t>30-01-2025</w:t>
            </w:r>
          </w:p>
        </w:tc>
      </w:tr>
      <w:tr w:rsidR="00A1282C" w:rsidRPr="009E2C1C" w14:paraId="56647818" w14:textId="77777777" w:rsidTr="000501F2">
        <w:tc>
          <w:tcPr>
            <w:tcW w:w="1512" w:type="dxa"/>
          </w:tcPr>
          <w:p w14:paraId="49F0DF4E" w14:textId="5FA9762E" w:rsidR="00A1282C" w:rsidRDefault="00A1282C" w:rsidP="00A128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0D68D8FA" w14:textId="77777777" w:rsidR="00A1282C" w:rsidRPr="002031AE" w:rsidRDefault="00A1282C" w:rsidP="00A1282C">
            <w:pPr>
              <w:jc w:val="both"/>
              <w:rPr>
                <w:rFonts w:cs="Arial"/>
                <w:lang w:val="es-ES_tradnl"/>
              </w:rPr>
            </w:pPr>
            <w:r w:rsidRPr="002031AE">
              <w:rPr>
                <w:rFonts w:cs="Arial"/>
                <w:lang w:val="es-ES_tradnl"/>
              </w:rPr>
              <w:t>“Informe de advertencia relativo a la publicación errónea de la Circular N° 132-2004 de la Secretaría General de la Corte, relacionada con el procedimiento de remates”.</w:t>
            </w:r>
          </w:p>
          <w:p w14:paraId="38B3883B" w14:textId="2D462F91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5A7E118E" w14:textId="0A589BDB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173-14-IAD-SAEEC-2025</w:t>
            </w:r>
          </w:p>
        </w:tc>
        <w:tc>
          <w:tcPr>
            <w:tcW w:w="2251" w:type="dxa"/>
          </w:tcPr>
          <w:p w14:paraId="3174516C" w14:textId="045FDA68" w:rsidR="00A1282C" w:rsidRPr="00A936E1" w:rsidRDefault="00A1282C" w:rsidP="00A1282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>
              <w:rPr>
                <w:rFonts w:cs="Arial"/>
                <w:lang w:val="es-ES_tradnl"/>
              </w:rPr>
              <w:t>13-02-2025</w:t>
            </w:r>
          </w:p>
        </w:tc>
      </w:tr>
      <w:tr w:rsidR="0040507C" w:rsidRPr="009E2C1C" w14:paraId="4E47FDFE" w14:textId="77777777" w:rsidTr="000501F2">
        <w:tc>
          <w:tcPr>
            <w:tcW w:w="1512" w:type="dxa"/>
          </w:tcPr>
          <w:p w14:paraId="79E085DC" w14:textId="11B81FD2" w:rsidR="0040507C" w:rsidRDefault="0040507C" w:rsidP="00405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5FE39892" w14:textId="77777777" w:rsidR="0040507C" w:rsidRPr="00A22DEB" w:rsidRDefault="0040507C" w:rsidP="0040507C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A22DEB">
              <w:rPr>
                <w:rFonts w:cs="Arial"/>
                <w:spacing w:val="2"/>
                <w:lang w:val="es-ES_tradnl"/>
              </w:rPr>
              <w:t xml:space="preserve">Informe de </w:t>
            </w:r>
            <w:r w:rsidRPr="00A22DEB">
              <w:rPr>
                <w:rFonts w:cs="Arial"/>
                <w:b/>
                <w:bCs/>
                <w:i/>
                <w:iCs/>
                <w:spacing w:val="2"/>
                <w:lang w:val="es-ES_tradnl"/>
              </w:rPr>
              <w:t>“</w:t>
            </w:r>
            <w:bookmarkStart w:id="0" w:name="_Hlk181802119"/>
            <w:r w:rsidRPr="00A22DEB">
              <w:rPr>
                <w:rFonts w:cs="Arial"/>
                <w:spacing w:val="2"/>
                <w:lang w:val="es-ES_tradnl"/>
              </w:rPr>
              <w:t>Advertencia sobre el marco normativo y proceso de transparencia atinente con la Contraloría de Servicios del Poder Judicial</w:t>
            </w:r>
            <w:bookmarkEnd w:id="0"/>
            <w:r w:rsidRPr="00A22DEB">
              <w:rPr>
                <w:rFonts w:cs="Arial"/>
                <w:spacing w:val="2"/>
                <w:lang w:val="es-ES_tradnl"/>
              </w:rPr>
              <w:t>”</w:t>
            </w:r>
            <w:r w:rsidRPr="00A22DEB">
              <w:rPr>
                <w:rFonts w:cs="Arial"/>
                <w:spacing w:val="2"/>
                <w:lang w:val="es-ES_tradnl"/>
              </w:rPr>
              <w:fldChar w:fldCharType="begin"/>
            </w:r>
            <w:r w:rsidRPr="00A22DEB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22DEB">
              <w:rPr>
                <w:rFonts w:cs="Arial"/>
                <w:spacing w:val="2"/>
                <w:lang w:val="es-ES_tradnl"/>
              </w:rPr>
              <w:fldChar w:fldCharType="end"/>
            </w:r>
            <w:r w:rsidRPr="00A22DEB">
              <w:rPr>
                <w:rFonts w:cs="Arial"/>
                <w:spacing w:val="2"/>
                <w:lang w:val="es-ES_tradnl"/>
              </w:rPr>
              <w:t>.</w:t>
            </w:r>
          </w:p>
          <w:p w14:paraId="39610EE7" w14:textId="77777777" w:rsidR="0040507C" w:rsidRPr="00A22DEB" w:rsidRDefault="0040507C" w:rsidP="0040507C">
            <w:pPr>
              <w:rPr>
                <w:rFonts w:cs="Arial"/>
                <w:spacing w:val="2"/>
                <w:lang w:val="es-ES_tradnl"/>
              </w:rPr>
            </w:pPr>
          </w:p>
          <w:p w14:paraId="357C357E" w14:textId="3A752BEF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791D0441" w14:textId="5B85830A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lastRenderedPageBreak/>
              <w:t>174-01-ADV-SAO-2025</w:t>
            </w:r>
          </w:p>
        </w:tc>
        <w:tc>
          <w:tcPr>
            <w:tcW w:w="2251" w:type="dxa"/>
          </w:tcPr>
          <w:p w14:paraId="69391783" w14:textId="2C010FA5" w:rsidR="0040507C" w:rsidRPr="00A936E1" w:rsidRDefault="0040507C" w:rsidP="0040507C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22DEB">
              <w:rPr>
                <w:rFonts w:cs="Arial"/>
                <w:spacing w:val="2"/>
                <w:lang w:val="es-ES_tradnl"/>
              </w:rPr>
              <w:t>17-02-2025</w:t>
            </w:r>
          </w:p>
        </w:tc>
      </w:tr>
      <w:tr w:rsidR="00BA7E19" w:rsidRPr="009E2C1C" w14:paraId="6BA5E2F0" w14:textId="77777777" w:rsidTr="000501F2">
        <w:tc>
          <w:tcPr>
            <w:tcW w:w="1512" w:type="dxa"/>
          </w:tcPr>
          <w:p w14:paraId="7A8CFD49" w14:textId="01EA995E" w:rsidR="00BA7E19" w:rsidRPr="00925C1C" w:rsidRDefault="00BA7E19" w:rsidP="00BA7E1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5</w:t>
            </w:r>
          </w:p>
        </w:tc>
        <w:tc>
          <w:tcPr>
            <w:tcW w:w="5513" w:type="dxa"/>
          </w:tcPr>
          <w:p w14:paraId="567F0344" w14:textId="77777777" w:rsidR="00BA7E19" w:rsidRPr="002C3366" w:rsidRDefault="00BA7E19" w:rsidP="00BA7E1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2C3366">
              <w:rPr>
                <w:rFonts w:cs="Arial"/>
                <w:spacing w:val="2"/>
                <w:lang w:val="es-ES_tradnl"/>
              </w:rPr>
              <w:t>nforme de a</w:t>
            </w:r>
            <w:r>
              <w:rPr>
                <w:rFonts w:cs="Arial"/>
                <w:spacing w:val="2"/>
                <w:lang w:val="es-ES_tradnl"/>
              </w:rPr>
              <w:t>dvertencia</w:t>
            </w:r>
            <w:r w:rsidRPr="002C3366">
              <w:rPr>
                <w:rFonts w:cs="Arial"/>
                <w:spacing w:val="2"/>
                <w:lang w:val="es-ES_tradnl"/>
              </w:rPr>
              <w:t xml:space="preserve"> relacionado con </w:t>
            </w:r>
            <w:r>
              <w:rPr>
                <w:rFonts w:cs="Arial"/>
                <w:spacing w:val="2"/>
                <w:lang w:val="es-ES_tradnl"/>
              </w:rPr>
              <w:t xml:space="preserve">la </w:t>
            </w:r>
            <w:r w:rsidRPr="00BA7E19">
              <w:rPr>
                <w:rFonts w:cs="Arial"/>
                <w:spacing w:val="2"/>
                <w:lang w:val="es-ES_tradnl"/>
              </w:rPr>
              <w:t>gestión de solicitudes de trabajos ante Departamento de Artes Gráficas.</w:t>
            </w:r>
          </w:p>
          <w:p w14:paraId="0DDDC785" w14:textId="4DAD2FAF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03BDF4F" w14:textId="61AD2417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213-01-ADV-APAI-2025</w:t>
            </w:r>
          </w:p>
        </w:tc>
        <w:tc>
          <w:tcPr>
            <w:tcW w:w="2251" w:type="dxa"/>
          </w:tcPr>
          <w:p w14:paraId="63F290B2" w14:textId="4A4E5EC5" w:rsidR="00BA7E19" w:rsidRPr="00BA7E19" w:rsidRDefault="00BA7E19" w:rsidP="00BA7E19">
            <w:pPr>
              <w:jc w:val="both"/>
              <w:rPr>
                <w:rFonts w:cs="Arial"/>
                <w:spacing w:val="2"/>
                <w:lang w:val="es-ES_tradnl"/>
              </w:rPr>
            </w:pPr>
            <w:r w:rsidRPr="00BA7E19">
              <w:rPr>
                <w:rFonts w:cs="Arial"/>
                <w:spacing w:val="2"/>
                <w:lang w:val="es-ES_tradnl"/>
              </w:rPr>
              <w:t>20-02-2025</w:t>
            </w:r>
          </w:p>
        </w:tc>
      </w:tr>
      <w:tr w:rsidR="00F029AE" w:rsidRPr="009E2C1C" w14:paraId="2959C7B4" w14:textId="77777777" w:rsidTr="000501F2">
        <w:tc>
          <w:tcPr>
            <w:tcW w:w="1512" w:type="dxa"/>
          </w:tcPr>
          <w:p w14:paraId="7B3399D7" w14:textId="2B0DB4D7" w:rsidR="00F029AE" w:rsidRDefault="00F029AE" w:rsidP="00F029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6</w:t>
            </w:r>
          </w:p>
        </w:tc>
        <w:tc>
          <w:tcPr>
            <w:tcW w:w="5513" w:type="dxa"/>
          </w:tcPr>
          <w:p w14:paraId="057A13C4" w14:textId="77777777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“Riesgo para el Consejo Superior de aprobar perfiles competenciales que podrían no ajustarse a los requerimientos actuales de la Defensa Pública”.</w:t>
            </w:r>
          </w:p>
          <w:p w14:paraId="05A1C452" w14:textId="77777777" w:rsid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9F530F7" w14:textId="3754F329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295-14-IAD-SAEE-2025</w:t>
            </w:r>
          </w:p>
        </w:tc>
        <w:tc>
          <w:tcPr>
            <w:tcW w:w="2251" w:type="dxa"/>
          </w:tcPr>
          <w:p w14:paraId="3E644FE5" w14:textId="51014522" w:rsidR="00F029AE" w:rsidRPr="00F029AE" w:rsidRDefault="00F029AE" w:rsidP="00F029AE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F029AE">
              <w:rPr>
                <w:rFonts w:cs="Arial"/>
                <w:spacing w:val="2"/>
                <w:lang w:val="es-ES_tradnl"/>
              </w:rPr>
              <w:t>13-03-2025</w:t>
            </w:r>
          </w:p>
        </w:tc>
      </w:tr>
      <w:tr w:rsidR="001A3CAE" w:rsidRPr="009E2C1C" w14:paraId="3948EB32" w14:textId="77777777" w:rsidTr="000501F2">
        <w:tc>
          <w:tcPr>
            <w:tcW w:w="1512" w:type="dxa"/>
          </w:tcPr>
          <w:p w14:paraId="0E3A4462" w14:textId="2858EFAE" w:rsidR="001A3CAE" w:rsidRDefault="001A3CAE" w:rsidP="001A3CAE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7</w:t>
            </w:r>
          </w:p>
        </w:tc>
        <w:tc>
          <w:tcPr>
            <w:tcW w:w="5513" w:type="dxa"/>
          </w:tcPr>
          <w:p w14:paraId="6C5E2191" w14:textId="540307D4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1629A0">
              <w:rPr>
                <w:rFonts w:cs="Arial"/>
                <w:spacing w:val="2"/>
                <w:lang w:val="es-ES_tradnl"/>
              </w:rPr>
              <w:t>nforme de advertencia relacionado con el tema abordado en el artículo XIV de la sesión de Corte Plena del 10 de febrero de 2025, referente a los posibles ajustes a las jornadas de trabajo de los despachos de turno extraordinario del I y II Circuito Judicial de San José y el pago de horas extra asociadas</w:t>
            </w:r>
            <w:r w:rsidR="00174769">
              <w:rPr>
                <w:rFonts w:cs="Arial"/>
                <w:spacing w:val="2"/>
                <w:lang w:val="es-ES_tradnl"/>
              </w:rPr>
              <w:t>.</w:t>
            </w:r>
          </w:p>
        </w:tc>
        <w:tc>
          <w:tcPr>
            <w:tcW w:w="2489" w:type="dxa"/>
          </w:tcPr>
          <w:p w14:paraId="723A99D4" w14:textId="2B8A1850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316-14-IAD-APAI-2025</w:t>
            </w:r>
          </w:p>
        </w:tc>
        <w:tc>
          <w:tcPr>
            <w:tcW w:w="2251" w:type="dxa"/>
          </w:tcPr>
          <w:p w14:paraId="4D2C586B" w14:textId="6BD379FF" w:rsidR="001A3CAE" w:rsidRPr="003453D2" w:rsidRDefault="001A3CAE" w:rsidP="003453D2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18-03-2025</w:t>
            </w:r>
          </w:p>
        </w:tc>
      </w:tr>
      <w:tr w:rsidR="00071B84" w:rsidRPr="009E2C1C" w14:paraId="0D6E9E19" w14:textId="77777777" w:rsidTr="000501F2">
        <w:tc>
          <w:tcPr>
            <w:tcW w:w="1512" w:type="dxa"/>
          </w:tcPr>
          <w:p w14:paraId="7C0196E9" w14:textId="16FB52D2" w:rsidR="00071B84" w:rsidRDefault="00071B84" w:rsidP="00071B84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8</w:t>
            </w:r>
          </w:p>
        </w:tc>
        <w:tc>
          <w:tcPr>
            <w:tcW w:w="5513" w:type="dxa"/>
          </w:tcPr>
          <w:p w14:paraId="17A59A02" w14:textId="77777777" w:rsidR="00071B84" w:rsidRPr="00AD4328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“El riesgo legal por la realización de inversiones por parte de la JUNAFO”</w:t>
            </w:r>
            <w:r w:rsidRPr="00AD4328">
              <w:rPr>
                <w:rFonts w:cs="Arial"/>
                <w:spacing w:val="2"/>
                <w:lang w:val="es-ES_tradnl"/>
              </w:rPr>
              <w:fldChar w:fldCharType="begin"/>
            </w:r>
            <w:r w:rsidRPr="00AD4328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AD4328">
              <w:rPr>
                <w:rFonts w:cs="Arial"/>
                <w:spacing w:val="2"/>
                <w:lang w:val="es-ES_tradnl"/>
              </w:rPr>
              <w:fldChar w:fldCharType="end"/>
            </w:r>
            <w:r w:rsidRPr="00AD4328">
              <w:rPr>
                <w:rFonts w:cs="Arial"/>
                <w:spacing w:val="2"/>
                <w:lang w:val="es-ES_tradnl"/>
              </w:rPr>
              <w:t>.</w:t>
            </w:r>
          </w:p>
          <w:p w14:paraId="64077180" w14:textId="277B11D8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C9A1FAF" w14:textId="4B552D37" w:rsidR="00071B84" w:rsidRPr="003453D2" w:rsidRDefault="00071B84" w:rsidP="00071B8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408</w:t>
            </w:r>
            <w:r w:rsidR="0031558D">
              <w:rPr>
                <w:rFonts w:cs="Arial"/>
                <w:spacing w:val="2"/>
                <w:lang w:val="es-ES_tradnl"/>
              </w:rPr>
              <w:t>-</w:t>
            </w:r>
            <w:r w:rsidRPr="005B7A36">
              <w:rPr>
                <w:rFonts w:cs="Arial"/>
                <w:spacing w:val="2"/>
                <w:lang w:val="es-ES_tradnl"/>
              </w:rPr>
              <w:t>20-IAD-SAF-2025</w:t>
            </w:r>
          </w:p>
        </w:tc>
        <w:tc>
          <w:tcPr>
            <w:tcW w:w="2251" w:type="dxa"/>
          </w:tcPr>
          <w:p w14:paraId="0FBE2A6F" w14:textId="42F3CEA1" w:rsidR="00071B84" w:rsidRPr="003453D2" w:rsidRDefault="00071B84" w:rsidP="00842575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7A36">
              <w:rPr>
                <w:rFonts w:cs="Arial"/>
                <w:spacing w:val="2"/>
                <w:lang w:val="es-ES_tradnl"/>
              </w:rPr>
              <w:t>04-04-2025</w:t>
            </w:r>
          </w:p>
        </w:tc>
      </w:tr>
      <w:tr w:rsidR="001530AA" w:rsidRPr="009E2C1C" w14:paraId="6BDBBC2A" w14:textId="77777777" w:rsidTr="000501F2">
        <w:tc>
          <w:tcPr>
            <w:tcW w:w="1512" w:type="dxa"/>
          </w:tcPr>
          <w:p w14:paraId="2CF7CBAB" w14:textId="4349DBE4" w:rsidR="001530AA" w:rsidRPr="00E7097E" w:rsidRDefault="001530AA" w:rsidP="001530AA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13" w:type="dxa"/>
          </w:tcPr>
          <w:p w14:paraId="4EA0F28A" w14:textId="77777777" w:rsidR="001530AA" w:rsidRPr="005B4001" w:rsidRDefault="001530AA" w:rsidP="001530AA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B4001">
              <w:rPr>
                <w:rFonts w:cs="Arial"/>
                <w:spacing w:val="2"/>
                <w:lang w:val="es-ES_tradnl"/>
              </w:rPr>
              <w:t>“El fortalecimiento de la gestión de riesgos en el Ministerio Público”.</w:t>
            </w:r>
          </w:p>
          <w:p w14:paraId="394D1CCA" w14:textId="37CD3E5C" w:rsidR="001530AA" w:rsidRPr="001530AA" w:rsidRDefault="001530AA" w:rsidP="001530AA">
            <w:pPr>
              <w:pStyle w:val="NormalWeb"/>
              <w:jc w:val="both"/>
              <w:rPr>
                <w:rFonts w:asciiTheme="minorHAnsi" w:eastAsiaTheme="minorHAnsi" w:hAnsiTheme="minorHAnsi" w:cs="Arial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E5637AA" w14:textId="0F85765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967-40-ADV-SAO-2025</w:t>
            </w:r>
          </w:p>
        </w:tc>
        <w:tc>
          <w:tcPr>
            <w:tcW w:w="2251" w:type="dxa"/>
          </w:tcPr>
          <w:p w14:paraId="2CA25D22" w14:textId="0E18E7A2" w:rsidR="001530AA" w:rsidRPr="001530AA" w:rsidRDefault="001530AA" w:rsidP="001530AA">
            <w:pPr>
              <w:jc w:val="both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08-08-2025</w:t>
            </w:r>
          </w:p>
        </w:tc>
      </w:tr>
      <w:tr w:rsidR="00395442" w:rsidRPr="009E2C1C" w14:paraId="45A3D06E" w14:textId="77777777" w:rsidTr="000501F2">
        <w:tc>
          <w:tcPr>
            <w:tcW w:w="1512" w:type="dxa"/>
          </w:tcPr>
          <w:p w14:paraId="0C417A3E" w14:textId="28113B2B" w:rsidR="00395442" w:rsidRPr="00A0165C" w:rsidRDefault="00395442" w:rsidP="00395442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513" w:type="dxa"/>
          </w:tcPr>
          <w:p w14:paraId="46FB45F5" w14:textId="713B3E98" w:rsidR="00395442" w:rsidRPr="00A0165C" w:rsidRDefault="00395442" w:rsidP="00395442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lang w:val="es-ES_tradnl"/>
              </w:rPr>
            </w:pPr>
            <w:r>
              <w:rPr>
                <w:rFonts w:asciiTheme="minorHAnsi" w:hAnsiTheme="minorHAnsi" w:cstheme="minorHAnsi"/>
                <w:spacing w:val="2"/>
                <w:lang w:val="es-ES_tradnl"/>
              </w:rPr>
              <w:t>I</w:t>
            </w:r>
            <w:r w:rsidRPr="00324575">
              <w:rPr>
                <w:rFonts w:asciiTheme="minorHAnsi" w:hAnsiTheme="minorHAnsi" w:cstheme="minorHAnsi"/>
                <w:spacing w:val="2"/>
                <w:szCs w:val="22"/>
                <w:lang w:val="es-ES_tradnl"/>
              </w:rPr>
              <w:t>nforme de advertencia relacionado con la gestión del correo electrónico institucional ante desvinculación y ausentismo prolongado.</w:t>
            </w:r>
          </w:p>
        </w:tc>
        <w:tc>
          <w:tcPr>
            <w:tcW w:w="2489" w:type="dxa"/>
          </w:tcPr>
          <w:p w14:paraId="30B7B301" w14:textId="08DD4017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977-75-IAD-SATI-2025</w:t>
            </w:r>
          </w:p>
        </w:tc>
        <w:tc>
          <w:tcPr>
            <w:tcW w:w="2251" w:type="dxa"/>
          </w:tcPr>
          <w:p w14:paraId="125AEF87" w14:textId="2AF05C8B" w:rsidR="00395442" w:rsidRPr="00A0165C" w:rsidRDefault="00395442" w:rsidP="00395442">
            <w:pPr>
              <w:jc w:val="both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11-08-2025</w:t>
            </w:r>
          </w:p>
        </w:tc>
      </w:tr>
      <w:tr w:rsidR="00B33DDC" w:rsidRPr="009E2C1C" w14:paraId="77330AC9" w14:textId="77777777" w:rsidTr="000501F2">
        <w:tc>
          <w:tcPr>
            <w:tcW w:w="1512" w:type="dxa"/>
          </w:tcPr>
          <w:p w14:paraId="6C71F5F0" w14:textId="3F9ACE88" w:rsidR="00B33DDC" w:rsidRPr="00F250C8" w:rsidRDefault="00B33DDC" w:rsidP="00B33DDC">
            <w:pPr>
              <w:autoSpaceDE w:val="0"/>
              <w:jc w:val="center"/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513" w:type="dxa"/>
          </w:tcPr>
          <w:p w14:paraId="1FA3E579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“Advertencia sobre la gestión apropiada de los saldos de períodos de vacaciones en la Administración Regional del I Circuito Judicial de la Zona Sur, sede Pérez Zeledón.”</w:t>
            </w:r>
          </w:p>
          <w:p w14:paraId="6AF4D6E5" w14:textId="77777777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4DE4FFCF" w14:textId="6DA70528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1070-45-IAD-SAO-2025</w:t>
            </w:r>
          </w:p>
        </w:tc>
        <w:tc>
          <w:tcPr>
            <w:tcW w:w="2251" w:type="dxa"/>
          </w:tcPr>
          <w:p w14:paraId="65368256" w14:textId="3B7DC432" w:rsidR="00B33DDC" w:rsidRPr="00B33DDC" w:rsidRDefault="00B33DDC" w:rsidP="00B33DDC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B33DDC">
              <w:rPr>
                <w:rFonts w:asciiTheme="minorHAnsi" w:hAnsiTheme="minorHAnsi" w:cstheme="minorHAnsi"/>
                <w:spacing w:val="2"/>
                <w:lang w:val="es-ES_tradnl"/>
              </w:rPr>
              <w:t>3-09-2025</w:t>
            </w:r>
          </w:p>
        </w:tc>
      </w:tr>
      <w:tr w:rsidR="0064197A" w:rsidRPr="009E2C1C" w14:paraId="4FA467E8" w14:textId="77777777" w:rsidTr="000501F2">
        <w:tc>
          <w:tcPr>
            <w:tcW w:w="1512" w:type="dxa"/>
          </w:tcPr>
          <w:p w14:paraId="70A0E347" w14:textId="7430FB70" w:rsidR="0064197A" w:rsidRDefault="0064197A" w:rsidP="00641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12</w:t>
            </w:r>
          </w:p>
        </w:tc>
        <w:tc>
          <w:tcPr>
            <w:tcW w:w="5513" w:type="dxa"/>
          </w:tcPr>
          <w:p w14:paraId="72A9C986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 xml:space="preserve"> “Normativa referente a la remisión de arqueos de caja chica a 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la Auditoría Judicial”</w: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begin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fldChar w:fldCharType="end"/>
            </w: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.</w:t>
            </w:r>
          </w:p>
          <w:p w14:paraId="76A517C8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  <w:p w14:paraId="673C0E2E" w14:textId="77777777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05F8F06D" w14:textId="368E4878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lastRenderedPageBreak/>
              <w:t>1078-80-IAD-SAF-2025</w:t>
            </w:r>
          </w:p>
        </w:tc>
        <w:tc>
          <w:tcPr>
            <w:tcW w:w="2251" w:type="dxa"/>
          </w:tcPr>
          <w:p w14:paraId="3A2C46C9" w14:textId="0B7F0454" w:rsidR="0064197A" w:rsidRPr="0064197A" w:rsidRDefault="0064197A" w:rsidP="0064197A">
            <w:pPr>
              <w:pStyle w:val="NormalWeb"/>
              <w:jc w:val="both"/>
              <w:rPr>
                <w:rFonts w:asciiTheme="minorHAnsi" w:hAnsiTheme="minorHAnsi" w:cstheme="minorHAnsi"/>
                <w:spacing w:val="2"/>
                <w:lang w:val="es-ES_tradnl"/>
              </w:rPr>
            </w:pPr>
            <w:r w:rsidRPr="0064197A">
              <w:rPr>
                <w:rFonts w:asciiTheme="minorHAnsi" w:hAnsiTheme="minorHAnsi" w:cstheme="minorHAnsi"/>
                <w:spacing w:val="2"/>
                <w:lang w:val="es-ES_tradnl"/>
              </w:rPr>
              <w:t>4-09-2025</w:t>
            </w:r>
          </w:p>
        </w:tc>
      </w:tr>
      <w:tr w:rsidR="00A90146" w:rsidRPr="009E2C1C" w14:paraId="28F8A0BA" w14:textId="77777777" w:rsidTr="000501F2">
        <w:tc>
          <w:tcPr>
            <w:tcW w:w="1512" w:type="dxa"/>
          </w:tcPr>
          <w:p w14:paraId="1D8E71AB" w14:textId="5028D0F1" w:rsidR="00A90146" w:rsidRDefault="00A90146" w:rsidP="00A90146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13</w:t>
            </w:r>
          </w:p>
        </w:tc>
        <w:tc>
          <w:tcPr>
            <w:tcW w:w="5513" w:type="dxa"/>
          </w:tcPr>
          <w:p w14:paraId="492D5C26" w14:textId="77777777" w:rsidR="00A90146" w:rsidRPr="00693DEA" w:rsidRDefault="00A90146" w:rsidP="00A90146">
            <w:pPr>
              <w:jc w:val="both"/>
              <w:rPr>
                <w:rFonts w:cs="Arial"/>
                <w:lang w:eastAsia="es-CR"/>
              </w:rPr>
            </w:pPr>
            <w:r>
              <w:rPr>
                <w:rFonts w:cs="Arial"/>
                <w:lang w:eastAsia="es-CR"/>
              </w:rPr>
              <w:t>“</w:t>
            </w:r>
            <w:r w:rsidRPr="00693DEA">
              <w:rPr>
                <w:rFonts w:cs="Arial"/>
                <w:lang w:eastAsia="es-CR"/>
              </w:rPr>
              <w:t>la formalización de algunos controles de las Administraciones Regionales y Dirección Ejecutiva según revisión de la normativa vigente de cajas chicas”.</w:t>
            </w:r>
          </w:p>
          <w:p w14:paraId="7CAB762C" w14:textId="77777777" w:rsidR="00A90146" w:rsidRPr="004D3AB9" w:rsidRDefault="00A90146" w:rsidP="00A90146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8E17A02" w14:textId="6C34FD1C" w:rsidR="00A90146" w:rsidRPr="004D3AB9" w:rsidRDefault="00A90146" w:rsidP="00A90146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693DEA">
              <w:rPr>
                <w:rFonts w:cs="Arial"/>
                <w:lang w:eastAsia="es-CR"/>
              </w:rPr>
              <w:t>1236-90-IAD-SAF-2025</w:t>
            </w:r>
          </w:p>
        </w:tc>
        <w:tc>
          <w:tcPr>
            <w:tcW w:w="2251" w:type="dxa"/>
          </w:tcPr>
          <w:p w14:paraId="5D127AAA" w14:textId="47DF1D2C" w:rsidR="00A90146" w:rsidRPr="004D3AB9" w:rsidRDefault="00A90146" w:rsidP="00A90146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03-10-2025</w:t>
            </w:r>
          </w:p>
        </w:tc>
      </w:tr>
      <w:tr w:rsidR="00725C90" w:rsidRPr="009E2C1C" w14:paraId="3209A838" w14:textId="77777777" w:rsidTr="000501F2">
        <w:tc>
          <w:tcPr>
            <w:tcW w:w="1512" w:type="dxa"/>
          </w:tcPr>
          <w:p w14:paraId="03598D6B" w14:textId="4A7DF90A" w:rsidR="00725C90" w:rsidRDefault="00725C90" w:rsidP="00725C9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14</w:t>
            </w:r>
          </w:p>
        </w:tc>
        <w:tc>
          <w:tcPr>
            <w:tcW w:w="5513" w:type="dxa"/>
          </w:tcPr>
          <w:p w14:paraId="1D92E743" w14:textId="53951C62" w:rsidR="00725C90" w:rsidRPr="00725C90" w:rsidRDefault="00725C90" w:rsidP="00725C90">
            <w:pPr>
              <w:pStyle w:val="NormalWeb"/>
              <w:jc w:val="both"/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</w:pPr>
            <w:r w:rsidRPr="00725C90"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  <w:t>“circular Nº47-2025 emitida por el Departamento de Proveeduría, referente a los estudios de mercado”.</w:t>
            </w:r>
          </w:p>
        </w:tc>
        <w:tc>
          <w:tcPr>
            <w:tcW w:w="2489" w:type="dxa"/>
          </w:tcPr>
          <w:p w14:paraId="27BEC152" w14:textId="1A6ECDCB" w:rsidR="00725C90" w:rsidRPr="004D3AB9" w:rsidRDefault="00725C90" w:rsidP="00725C90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89614E">
              <w:rPr>
                <w:rFonts w:cs="Arial"/>
                <w:lang w:eastAsia="es-CR"/>
              </w:rPr>
              <w:t>1249-82-ADV-SAF-2025</w:t>
            </w:r>
          </w:p>
        </w:tc>
        <w:tc>
          <w:tcPr>
            <w:tcW w:w="2251" w:type="dxa"/>
          </w:tcPr>
          <w:p w14:paraId="5C0B214F" w14:textId="27D9B7B2" w:rsidR="00725C90" w:rsidRPr="004D3AB9" w:rsidRDefault="00725C90" w:rsidP="00725C90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03-10-2025</w:t>
            </w:r>
          </w:p>
        </w:tc>
      </w:tr>
      <w:tr w:rsidR="007416E7" w:rsidRPr="009E2C1C" w14:paraId="43A69B95" w14:textId="77777777" w:rsidTr="000501F2">
        <w:tc>
          <w:tcPr>
            <w:tcW w:w="1512" w:type="dxa"/>
          </w:tcPr>
          <w:p w14:paraId="35326768" w14:textId="5C4FF67F" w:rsidR="007416E7" w:rsidRDefault="007416E7" w:rsidP="007416E7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</w:t>
            </w:r>
          </w:p>
        </w:tc>
        <w:tc>
          <w:tcPr>
            <w:tcW w:w="5513" w:type="dxa"/>
          </w:tcPr>
          <w:p w14:paraId="4D9CEC29" w14:textId="37D96F54" w:rsidR="007416E7" w:rsidRPr="00BF364A" w:rsidRDefault="007416E7" w:rsidP="007416E7">
            <w:pPr>
              <w:spacing w:after="160" w:line="259" w:lineRule="auto"/>
              <w:jc w:val="both"/>
              <w:rPr>
                <w:rFonts w:cstheme="minorHAnsi"/>
                <w:spacing w:val="2"/>
                <w:lang w:val="es-ES_tradnl"/>
              </w:rPr>
            </w:pPr>
            <w:r>
              <w:rPr>
                <w:rFonts w:cstheme="minorHAnsi"/>
                <w:spacing w:val="2"/>
              </w:rPr>
              <w:t>I</w:t>
            </w:r>
            <w:r w:rsidRPr="00BF364A">
              <w:rPr>
                <w:rFonts w:cstheme="minorHAnsi"/>
                <w:spacing w:val="2"/>
                <w:lang w:val="es-ES_tradnl"/>
              </w:rPr>
              <w:t>nforme</w:t>
            </w:r>
            <w:r w:rsidR="00FB097A">
              <w:rPr>
                <w:rFonts w:cstheme="minorHAnsi"/>
                <w:spacing w:val="2"/>
                <w:lang w:val="es-ES_tradnl"/>
              </w:rPr>
              <w:t xml:space="preserve"> </w:t>
            </w:r>
            <w:r w:rsidRPr="00BF364A">
              <w:rPr>
                <w:rFonts w:cstheme="minorHAnsi"/>
                <w:spacing w:val="2"/>
                <w:lang w:val="es-ES_tradnl"/>
              </w:rPr>
              <w:t xml:space="preserve">de advertencia relacionada con las </w:t>
            </w:r>
            <w:r w:rsidRPr="00BF364A">
              <w:rPr>
                <w:rFonts w:cstheme="minorHAnsi"/>
                <w:bCs/>
                <w:spacing w:val="2"/>
              </w:rPr>
              <w:t>funcionalidades pendientes del Sistema Integrado de Gestión de Procesos Jurisdiccionales (SIAGPJ)</w:t>
            </w:r>
            <w:r w:rsidRPr="00BF364A">
              <w:rPr>
                <w:rFonts w:cstheme="minorHAnsi"/>
                <w:spacing w:val="2"/>
                <w:lang w:val="es-ES_tradnl"/>
              </w:rPr>
              <w:fldChar w:fldCharType="begin"/>
            </w:r>
            <w:r w:rsidRPr="00BF364A">
              <w:rPr>
                <w:rFonts w:cstheme="minorHAnsi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BF364A">
              <w:rPr>
                <w:rFonts w:cstheme="minorHAnsi"/>
                <w:spacing w:val="2"/>
                <w:lang w:val="es-ES_tradnl"/>
              </w:rPr>
              <w:fldChar w:fldCharType="end"/>
            </w:r>
            <w:r w:rsidRPr="00BF364A">
              <w:rPr>
                <w:rFonts w:cstheme="minorHAnsi"/>
                <w:spacing w:val="2"/>
                <w:lang w:val="es-ES_tradnl"/>
              </w:rPr>
              <w:t>.</w:t>
            </w:r>
          </w:p>
          <w:p w14:paraId="69B5CFD4" w14:textId="77777777" w:rsidR="007416E7" w:rsidRPr="004D3AB9" w:rsidRDefault="007416E7" w:rsidP="007416E7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181CC693" w14:textId="77777777" w:rsidR="007416E7" w:rsidRPr="00BF364A" w:rsidRDefault="007416E7" w:rsidP="007416E7">
            <w:pPr>
              <w:spacing w:after="160" w:line="259" w:lineRule="auto"/>
              <w:jc w:val="both"/>
              <w:rPr>
                <w:lang w:val="es-MX"/>
              </w:rPr>
            </w:pPr>
            <w:r w:rsidRPr="00BF364A">
              <w:rPr>
                <w:lang w:val="es-MX"/>
              </w:rPr>
              <w:t>1325-91-IAD-SATI-2025</w:t>
            </w:r>
          </w:p>
          <w:p w14:paraId="7EF2EA0E" w14:textId="77777777" w:rsidR="007416E7" w:rsidRPr="004D3AB9" w:rsidRDefault="007416E7" w:rsidP="007416E7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480A0675" w14:textId="22FABB8A" w:rsidR="007416E7" w:rsidRPr="004D3AB9" w:rsidRDefault="007416E7" w:rsidP="007416E7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theme="minorHAnsi"/>
                <w:spacing w:val="2"/>
                <w:lang w:val="es-ES_tradnl"/>
              </w:rPr>
              <w:t>22-10-2025</w:t>
            </w:r>
          </w:p>
        </w:tc>
      </w:tr>
      <w:tr w:rsidR="00C63DA4" w:rsidRPr="009E2C1C" w14:paraId="3D8564C5" w14:textId="77777777" w:rsidTr="000501F2">
        <w:tc>
          <w:tcPr>
            <w:tcW w:w="1512" w:type="dxa"/>
          </w:tcPr>
          <w:p w14:paraId="30512A2F" w14:textId="06956B45" w:rsidR="00C63DA4" w:rsidRDefault="00C63DA4" w:rsidP="00C63DA4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16</w:t>
            </w:r>
          </w:p>
        </w:tc>
        <w:tc>
          <w:tcPr>
            <w:tcW w:w="5513" w:type="dxa"/>
          </w:tcPr>
          <w:p w14:paraId="34CC0BCA" w14:textId="52AAE9E9" w:rsidR="00C63DA4" w:rsidRPr="004D3AB9" w:rsidRDefault="00C63DA4" w:rsidP="00C63DA4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  <w:r w:rsidRPr="00476816">
              <w:rPr>
                <w:rFonts w:ascii="Cambria" w:eastAsiaTheme="minorEastAsia" w:hAnsi="Cambria"/>
                <w:lang w:val="es-ES_tradnl" w:eastAsia="es-CR"/>
              </w:rPr>
              <w:t>Informe de advertencia relacionado con “la actualización del Marco Orientador y Metodología del Sistema Específico de Valoración de Riesgos (SEVRI)”</w:t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fldChar w:fldCharType="begin"/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instrText xml:space="preserve"> &lt;xsl:value-of select="TmData/PROJECT/PROFILE/ORIGIN"/&gt; </w:instrText>
            </w:r>
            <w:r w:rsidRPr="00476816">
              <w:rPr>
                <w:rFonts w:ascii="Cambria" w:eastAsiaTheme="minorEastAsia" w:hAnsi="Cambria"/>
                <w:lang w:eastAsia="es-CR"/>
              </w:rPr>
              <w:fldChar w:fldCharType="end"/>
            </w:r>
            <w:r w:rsidRPr="00476816">
              <w:rPr>
                <w:rFonts w:ascii="Cambria" w:eastAsiaTheme="minorEastAsia" w:hAnsi="Cambria"/>
                <w:lang w:val="es-ES_tradnl" w:eastAsia="es-CR"/>
              </w:rPr>
              <w:t>.</w:t>
            </w:r>
          </w:p>
        </w:tc>
        <w:tc>
          <w:tcPr>
            <w:tcW w:w="2489" w:type="dxa"/>
          </w:tcPr>
          <w:p w14:paraId="01DC751A" w14:textId="77777777" w:rsidR="00C63DA4" w:rsidRPr="00476816" w:rsidRDefault="00C63DA4" w:rsidP="00C63DA4">
            <w:pPr>
              <w:rPr>
                <w:rFonts w:ascii="Cambria" w:eastAsiaTheme="minorEastAsia" w:hAnsi="Cambria"/>
                <w:szCs w:val="20"/>
                <w:lang w:val="es-ES_tradnl" w:eastAsia="es-CR"/>
              </w:rPr>
            </w:pPr>
            <w:r w:rsidRPr="00476816">
              <w:rPr>
                <w:rFonts w:ascii="Cambria" w:eastAsiaTheme="minorEastAsia" w:hAnsi="Cambria"/>
                <w:szCs w:val="20"/>
                <w:lang w:val="es-ES_tradnl" w:eastAsia="es-CR"/>
              </w:rPr>
              <w:t>1334-53-IAD-SAO-2025</w:t>
            </w:r>
          </w:p>
          <w:p w14:paraId="12ED1F80" w14:textId="77777777" w:rsidR="00C63DA4" w:rsidRPr="004D3AB9" w:rsidRDefault="00C63DA4" w:rsidP="00C63DA4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251" w:type="dxa"/>
          </w:tcPr>
          <w:p w14:paraId="2DDE202F" w14:textId="018517AD" w:rsidR="00C63DA4" w:rsidRPr="004D3AB9" w:rsidRDefault="00C63DA4" w:rsidP="00C63DA4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476816">
              <w:rPr>
                <w:rFonts w:ascii="Cambria" w:eastAsiaTheme="minorEastAsia" w:hAnsi="Cambria"/>
                <w:szCs w:val="20"/>
                <w:lang w:eastAsia="es-CR"/>
              </w:rPr>
              <w:t>27-10-2025</w:t>
            </w:r>
          </w:p>
        </w:tc>
      </w:tr>
      <w:tr w:rsidR="00FB097A" w:rsidRPr="009E2C1C" w14:paraId="4D41BAC6" w14:textId="77777777" w:rsidTr="000501F2">
        <w:tc>
          <w:tcPr>
            <w:tcW w:w="1512" w:type="dxa"/>
          </w:tcPr>
          <w:p w14:paraId="4177AE29" w14:textId="729C6E63" w:rsidR="00FB097A" w:rsidRDefault="00FB097A" w:rsidP="00FB097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17</w:t>
            </w:r>
          </w:p>
        </w:tc>
        <w:tc>
          <w:tcPr>
            <w:tcW w:w="5513" w:type="dxa"/>
          </w:tcPr>
          <w:p w14:paraId="20AC42DA" w14:textId="77777777" w:rsidR="00FB097A" w:rsidRPr="00F46318" w:rsidRDefault="00FB097A" w:rsidP="00FB097A">
            <w:pPr>
              <w:rPr>
                <w:rFonts w:cs="Arial"/>
                <w:lang w:eastAsia="es-CR"/>
              </w:rPr>
            </w:pPr>
            <w:r>
              <w:rPr>
                <w:rFonts w:cs="Arial"/>
                <w:lang w:eastAsia="es-CR"/>
              </w:rPr>
              <w:t>I</w:t>
            </w:r>
            <w:r w:rsidRPr="00F46318">
              <w:rPr>
                <w:rFonts w:cs="Arial"/>
                <w:lang w:eastAsia="es-CR"/>
              </w:rPr>
              <w:t>nforme de advertencia relacionado con el “Establecimiento de lineamientos institucionales para compras por caja chica en consideración de diversos criterios jurídicos”.</w:t>
            </w:r>
          </w:p>
          <w:p w14:paraId="27613782" w14:textId="77777777" w:rsidR="00FB097A" w:rsidRPr="004D3AB9" w:rsidRDefault="00FB097A" w:rsidP="00FB097A">
            <w:pPr>
              <w:pStyle w:val="NormalWeb"/>
              <w:jc w:val="both"/>
              <w:rPr>
                <w:rFonts w:asciiTheme="minorHAnsi" w:eastAsiaTheme="minorHAnsi" w:hAnsiTheme="minorHAnsi" w:cs="Arial"/>
                <w:i/>
                <w:iCs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89" w:type="dxa"/>
          </w:tcPr>
          <w:p w14:paraId="579B3D2F" w14:textId="0B8D6D81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F46318">
              <w:rPr>
                <w:rFonts w:cs="Arial"/>
                <w:lang w:eastAsia="es-CR"/>
              </w:rPr>
              <w:t>1395-28-IAD-SAF-2025</w:t>
            </w:r>
          </w:p>
        </w:tc>
        <w:tc>
          <w:tcPr>
            <w:tcW w:w="2251" w:type="dxa"/>
          </w:tcPr>
          <w:p w14:paraId="79870E6F" w14:textId="4BAEAC34" w:rsidR="00FB097A" w:rsidRPr="004D3AB9" w:rsidRDefault="00FB097A" w:rsidP="00FB097A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03-11-2025</w:t>
            </w:r>
          </w:p>
        </w:tc>
      </w:tr>
      <w:tr w:rsidR="00D9726D" w:rsidRPr="009E2C1C" w14:paraId="5C159CB2" w14:textId="77777777" w:rsidTr="000501F2">
        <w:tc>
          <w:tcPr>
            <w:tcW w:w="1512" w:type="dxa"/>
          </w:tcPr>
          <w:p w14:paraId="6DA720E8" w14:textId="1D5CC342" w:rsidR="00D9726D" w:rsidRDefault="00D9726D" w:rsidP="00D9726D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18</w:t>
            </w:r>
          </w:p>
        </w:tc>
        <w:tc>
          <w:tcPr>
            <w:tcW w:w="5513" w:type="dxa"/>
          </w:tcPr>
          <w:p w14:paraId="3FA66276" w14:textId="251C7C17" w:rsidR="00D9726D" w:rsidRPr="00D9726D" w:rsidRDefault="00D9726D" w:rsidP="00D9726D">
            <w:pPr>
              <w:pStyle w:val="NormalWeb"/>
              <w:jc w:val="both"/>
              <w:rPr>
                <w:rFonts w:asciiTheme="minorHAnsi" w:eastAsiaTheme="minorHAnsi" w:hAnsiTheme="minorHAnsi" w:cs="Arial"/>
                <w:spacing w:val="2"/>
                <w:sz w:val="22"/>
                <w:szCs w:val="22"/>
                <w:lang w:val="es-ES_tradnl"/>
              </w:rPr>
            </w:pPr>
            <w:r w:rsidRPr="00D9726D"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  <w:t>Advertencia sobre el Reglamento vigente del Fondo de Apoyo a la Solución Alterna de Conflictos (FASAC) y el traslado del dinero al sistema de cuentas del sector público según la ley N.º10495 para el “Manejo Eficiente de la Liquidez en el Sector Público”.</w:t>
            </w:r>
          </w:p>
        </w:tc>
        <w:tc>
          <w:tcPr>
            <w:tcW w:w="2489" w:type="dxa"/>
          </w:tcPr>
          <w:p w14:paraId="6D1C1E35" w14:textId="50D1326E" w:rsidR="00D9726D" w:rsidRPr="004D3AB9" w:rsidRDefault="00D9726D" w:rsidP="00D9726D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 w:rsidRPr="00683976">
              <w:rPr>
                <w:rFonts w:cs="Arial"/>
                <w:lang w:eastAsia="es-CR"/>
              </w:rPr>
              <w:t>1511-110-IAD-SAF-2025</w:t>
            </w:r>
          </w:p>
        </w:tc>
        <w:tc>
          <w:tcPr>
            <w:tcW w:w="2251" w:type="dxa"/>
          </w:tcPr>
          <w:p w14:paraId="6ABFD32F" w14:textId="04888905" w:rsidR="00D9726D" w:rsidRPr="004D3AB9" w:rsidRDefault="00D9726D" w:rsidP="00D9726D">
            <w:pPr>
              <w:jc w:val="both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lang w:eastAsia="es-CR"/>
              </w:rPr>
              <w:t>21/11/2025</w:t>
            </w:r>
          </w:p>
        </w:tc>
      </w:tr>
      <w:tr w:rsidR="00544AFF" w:rsidRPr="00544AFF" w14:paraId="5C97806D" w14:textId="77777777" w:rsidTr="000501F2">
        <w:tc>
          <w:tcPr>
            <w:tcW w:w="1512" w:type="dxa"/>
          </w:tcPr>
          <w:p w14:paraId="4C94DFAE" w14:textId="76D79F65" w:rsidR="00544AFF" w:rsidRPr="00544AFF" w:rsidRDefault="00544AFF" w:rsidP="00544AFF">
            <w:pPr>
              <w:autoSpaceDE w:val="0"/>
              <w:jc w:val="center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19</w:t>
            </w:r>
          </w:p>
        </w:tc>
        <w:tc>
          <w:tcPr>
            <w:tcW w:w="5513" w:type="dxa"/>
          </w:tcPr>
          <w:p w14:paraId="0655F4B3" w14:textId="6FB78E19" w:rsidR="00544AFF" w:rsidRPr="00544AFF" w:rsidRDefault="00544AFF" w:rsidP="00544AFF">
            <w:pPr>
              <w:pStyle w:val="NormalWeb"/>
              <w:jc w:val="both"/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</w:pPr>
            <w:r w:rsidRPr="00544AFF">
              <w:rPr>
                <w:rFonts w:asciiTheme="minorHAnsi" w:eastAsiaTheme="minorHAnsi" w:hAnsiTheme="minorHAnsi" w:cs="Arial"/>
                <w:sz w:val="22"/>
                <w:szCs w:val="22"/>
                <w:lang w:eastAsia="es-CR"/>
              </w:rPr>
              <w:t>Informe de advertencia relacionado con “la entrega y devolución del equipo de cómputo portátil en períodos de sustituciones o reasignaciones temporales”.</w:t>
            </w:r>
          </w:p>
        </w:tc>
        <w:tc>
          <w:tcPr>
            <w:tcW w:w="2489" w:type="dxa"/>
          </w:tcPr>
          <w:p w14:paraId="2A992C61" w14:textId="6FD342D9" w:rsidR="00544AFF" w:rsidRPr="00544AFF" w:rsidRDefault="00544AFF" w:rsidP="00544AFF">
            <w:pPr>
              <w:jc w:val="both"/>
              <w:rPr>
                <w:rFonts w:cs="Arial"/>
                <w:lang w:eastAsia="es-CR"/>
              </w:rPr>
            </w:pPr>
            <w:r w:rsidRPr="00544AFF">
              <w:rPr>
                <w:rFonts w:cs="Arial"/>
                <w:lang w:eastAsia="es-CR"/>
              </w:rPr>
              <w:t>1537-56-IAD-SAO-2025</w:t>
            </w:r>
          </w:p>
        </w:tc>
        <w:tc>
          <w:tcPr>
            <w:tcW w:w="2251" w:type="dxa"/>
          </w:tcPr>
          <w:p w14:paraId="5148454D" w14:textId="16B88315" w:rsidR="00544AFF" w:rsidRPr="00544AFF" w:rsidRDefault="00544AFF" w:rsidP="00544AFF">
            <w:pPr>
              <w:jc w:val="both"/>
              <w:rPr>
                <w:rFonts w:cs="Arial"/>
                <w:lang w:eastAsia="es-CR"/>
              </w:rPr>
            </w:pPr>
            <w:r w:rsidRPr="00544AFF">
              <w:rPr>
                <w:rFonts w:cs="Arial"/>
                <w:lang w:eastAsia="es-CR"/>
              </w:rPr>
              <w:t>02-12-2025</w:t>
            </w:r>
          </w:p>
        </w:tc>
      </w:tr>
      <w:tr w:rsidR="00B01532" w:rsidRPr="00544AFF" w14:paraId="5AA65C37" w14:textId="77777777" w:rsidTr="000501F2">
        <w:tc>
          <w:tcPr>
            <w:tcW w:w="1512" w:type="dxa"/>
          </w:tcPr>
          <w:p w14:paraId="3B26AD30" w14:textId="1951DD35" w:rsidR="00B01532" w:rsidRPr="00B01532" w:rsidRDefault="00B01532" w:rsidP="00B01532">
            <w:pPr>
              <w:autoSpaceDE w:val="0"/>
              <w:jc w:val="center"/>
              <w:rPr>
                <w:rFonts w:ascii="Calibri" w:hAnsi="Calibri" w:cs="Calibri"/>
                <w:spacing w:val="2"/>
                <w:lang w:val="es-ES_tradnl"/>
              </w:rPr>
            </w:pPr>
            <w:r w:rsidRPr="00B01532">
              <w:rPr>
                <w:rFonts w:ascii="Calibri" w:hAnsi="Calibri" w:cs="Calibri"/>
                <w:spacing w:val="2"/>
                <w:lang w:val="es-ES_tradnl"/>
              </w:rPr>
              <w:lastRenderedPageBreak/>
              <w:t>20</w:t>
            </w:r>
          </w:p>
        </w:tc>
        <w:tc>
          <w:tcPr>
            <w:tcW w:w="5513" w:type="dxa"/>
          </w:tcPr>
          <w:p w14:paraId="55CEF13D" w14:textId="25FEA21F" w:rsidR="00B01532" w:rsidRPr="00B01532" w:rsidRDefault="00B01532" w:rsidP="00B01532">
            <w:pPr>
              <w:pStyle w:val="NormalWeb"/>
              <w:jc w:val="both"/>
              <w:rPr>
                <w:rFonts w:ascii="Calibri" w:eastAsiaTheme="minorHAnsi" w:hAnsi="Calibri" w:cs="Calibri"/>
                <w:spacing w:val="2"/>
                <w:sz w:val="22"/>
                <w:szCs w:val="22"/>
                <w:lang w:val="es-ES_tradnl"/>
              </w:rPr>
            </w:pPr>
            <w:r w:rsidRPr="00B01532">
              <w:rPr>
                <w:rFonts w:ascii="Calibri" w:hAnsi="Calibri" w:cs="Calibri"/>
                <w:i/>
                <w:iCs/>
                <w:sz w:val="22"/>
                <w:szCs w:val="22"/>
                <w:lang w:eastAsia="es-CR"/>
              </w:rPr>
              <w:t>“Advertencia relacionada con el riesgo de inclusión tardía de nombramientos en la PIN por falta de divulgación de lo acordado por el Consejo Superior en Sesión N°67-25 artículo XIX”.</w:t>
            </w:r>
          </w:p>
        </w:tc>
        <w:tc>
          <w:tcPr>
            <w:tcW w:w="2489" w:type="dxa"/>
          </w:tcPr>
          <w:p w14:paraId="7F099317" w14:textId="349E513C" w:rsidR="00B01532" w:rsidRPr="00B01532" w:rsidRDefault="00B01532" w:rsidP="00B01532">
            <w:pPr>
              <w:jc w:val="both"/>
              <w:rPr>
                <w:rFonts w:ascii="Calibri" w:hAnsi="Calibri" w:cs="Calibri"/>
                <w:spacing w:val="2"/>
                <w:lang w:val="es-ES_tradnl"/>
              </w:rPr>
            </w:pPr>
            <w:r w:rsidRPr="00B01532">
              <w:rPr>
                <w:rFonts w:ascii="Calibri" w:hAnsi="Calibri" w:cs="Calibri"/>
                <w:i/>
                <w:iCs/>
                <w:lang w:eastAsia="es-CR"/>
              </w:rPr>
              <w:t>1633-82-IAD-SAEE-2025</w:t>
            </w:r>
          </w:p>
        </w:tc>
        <w:tc>
          <w:tcPr>
            <w:tcW w:w="2251" w:type="dxa"/>
          </w:tcPr>
          <w:p w14:paraId="2D5CC2B5" w14:textId="389F39B2" w:rsidR="00B01532" w:rsidRPr="00B01532" w:rsidRDefault="00B01532" w:rsidP="00B01532">
            <w:pPr>
              <w:jc w:val="both"/>
              <w:rPr>
                <w:rFonts w:ascii="Calibri" w:hAnsi="Calibri" w:cs="Calibri"/>
                <w:spacing w:val="2"/>
                <w:lang w:val="es-ES_tradnl"/>
              </w:rPr>
            </w:pPr>
            <w:r w:rsidRPr="00B01532">
              <w:rPr>
                <w:rFonts w:ascii="Calibri" w:hAnsi="Calibri" w:cs="Calibri"/>
                <w:i/>
                <w:iCs/>
                <w:lang w:eastAsia="es-CR"/>
              </w:rPr>
              <w:t>18-12-2025</w:t>
            </w:r>
          </w:p>
        </w:tc>
      </w:tr>
      <w:tr w:rsidR="00855174" w:rsidRPr="00544AFF" w14:paraId="73070DE9" w14:textId="77777777" w:rsidTr="000501F2">
        <w:tc>
          <w:tcPr>
            <w:tcW w:w="1512" w:type="dxa"/>
          </w:tcPr>
          <w:p w14:paraId="3B2C883E" w14:textId="44E35BAA" w:rsidR="00855174" w:rsidRPr="00544AFF" w:rsidRDefault="00855174" w:rsidP="00855174">
            <w:pPr>
              <w:autoSpaceDE w:val="0"/>
              <w:jc w:val="center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21</w:t>
            </w:r>
          </w:p>
        </w:tc>
        <w:tc>
          <w:tcPr>
            <w:tcW w:w="5513" w:type="dxa"/>
          </w:tcPr>
          <w:p w14:paraId="36737955" w14:textId="44BB7275" w:rsidR="00855174" w:rsidRPr="00855174" w:rsidRDefault="00855174" w:rsidP="00855174">
            <w:pPr>
              <w:pStyle w:val="NormalWeb"/>
              <w:jc w:val="both"/>
              <w:rPr>
                <w:rFonts w:ascii="Calibri" w:eastAsiaTheme="minorHAnsi" w:hAnsi="Calibri" w:cs="Calibri"/>
                <w:spacing w:val="2"/>
                <w:sz w:val="22"/>
                <w:szCs w:val="22"/>
                <w:lang w:val="es-ES_tradnl"/>
              </w:rPr>
            </w:pPr>
            <w:bookmarkStart w:id="1" w:name="_GoBack"/>
            <w:bookmarkEnd w:id="1"/>
            <w:r w:rsidRPr="00855174">
              <w:rPr>
                <w:rFonts w:ascii="Calibri" w:hAnsi="Calibri" w:cs="Calibri"/>
                <w:spacing w:val="2"/>
                <w:sz w:val="22"/>
                <w:szCs w:val="22"/>
              </w:rPr>
              <w:t>“Informe de advertencia relativo al uso de infraestructura tecnológica institucional para activos tecnológicos de instituciones externas en el cuarto de comunicaciones de los Tribunales de Justicia de Grecia.”</w:t>
            </w:r>
          </w:p>
        </w:tc>
        <w:tc>
          <w:tcPr>
            <w:tcW w:w="2489" w:type="dxa"/>
          </w:tcPr>
          <w:p w14:paraId="07027E4F" w14:textId="3C228E72" w:rsidR="00855174" w:rsidRPr="00855174" w:rsidRDefault="00855174" w:rsidP="00855174">
            <w:pPr>
              <w:jc w:val="both"/>
              <w:rPr>
                <w:rFonts w:ascii="Calibri" w:hAnsi="Calibri" w:cs="Calibri"/>
                <w:spacing w:val="2"/>
                <w:lang w:val="es-ES_tradnl"/>
              </w:rPr>
            </w:pPr>
            <w:r w:rsidRPr="00855174">
              <w:rPr>
                <w:rFonts w:ascii="Calibri" w:hAnsi="Calibri" w:cs="Calibri"/>
              </w:rPr>
              <w:t>1635-90-ADV-APAI-2025</w:t>
            </w:r>
          </w:p>
        </w:tc>
        <w:tc>
          <w:tcPr>
            <w:tcW w:w="2251" w:type="dxa"/>
          </w:tcPr>
          <w:p w14:paraId="05B45AAB" w14:textId="14BF6CD4" w:rsidR="00855174" w:rsidRPr="00855174" w:rsidRDefault="00855174" w:rsidP="00855174">
            <w:pPr>
              <w:jc w:val="both"/>
              <w:rPr>
                <w:rFonts w:ascii="Calibri" w:hAnsi="Calibri" w:cs="Calibri"/>
                <w:spacing w:val="2"/>
                <w:lang w:val="es-ES_tradnl"/>
              </w:rPr>
            </w:pPr>
            <w:r w:rsidRPr="00855174">
              <w:rPr>
                <w:rFonts w:ascii="Calibri" w:hAnsi="Calibri" w:cs="Calibri"/>
                <w:i/>
                <w:iCs/>
                <w:spacing w:val="2"/>
                <w:lang w:val="es-419"/>
              </w:rPr>
              <w:t>18-12-2025</w:t>
            </w: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2473E"/>
    <w:rsid w:val="000278E6"/>
    <w:rsid w:val="000337DD"/>
    <w:rsid w:val="00034795"/>
    <w:rsid w:val="00040413"/>
    <w:rsid w:val="00047221"/>
    <w:rsid w:val="000501F2"/>
    <w:rsid w:val="0005699B"/>
    <w:rsid w:val="00056A6B"/>
    <w:rsid w:val="00056DC4"/>
    <w:rsid w:val="0005737D"/>
    <w:rsid w:val="00066003"/>
    <w:rsid w:val="00071B84"/>
    <w:rsid w:val="000720D0"/>
    <w:rsid w:val="00075255"/>
    <w:rsid w:val="0008281E"/>
    <w:rsid w:val="00084707"/>
    <w:rsid w:val="000870E5"/>
    <w:rsid w:val="00095B6F"/>
    <w:rsid w:val="000A32CC"/>
    <w:rsid w:val="000A40F4"/>
    <w:rsid w:val="000A4162"/>
    <w:rsid w:val="000B2116"/>
    <w:rsid w:val="000B69F0"/>
    <w:rsid w:val="000C0BE1"/>
    <w:rsid w:val="000C13FC"/>
    <w:rsid w:val="000C2610"/>
    <w:rsid w:val="000D0FBE"/>
    <w:rsid w:val="000E7FE0"/>
    <w:rsid w:val="000F4229"/>
    <w:rsid w:val="00104C15"/>
    <w:rsid w:val="0012114F"/>
    <w:rsid w:val="0013152F"/>
    <w:rsid w:val="00132787"/>
    <w:rsid w:val="00135873"/>
    <w:rsid w:val="001530AA"/>
    <w:rsid w:val="001553D2"/>
    <w:rsid w:val="00157763"/>
    <w:rsid w:val="001708E3"/>
    <w:rsid w:val="00174769"/>
    <w:rsid w:val="001771AB"/>
    <w:rsid w:val="0017780C"/>
    <w:rsid w:val="0018077F"/>
    <w:rsid w:val="00183E3E"/>
    <w:rsid w:val="00185E4E"/>
    <w:rsid w:val="0019647E"/>
    <w:rsid w:val="00196769"/>
    <w:rsid w:val="001A1C69"/>
    <w:rsid w:val="001A3CAE"/>
    <w:rsid w:val="001A4E85"/>
    <w:rsid w:val="001B2203"/>
    <w:rsid w:val="001B5D2C"/>
    <w:rsid w:val="001B7572"/>
    <w:rsid w:val="001F0E70"/>
    <w:rsid w:val="001F4DFB"/>
    <w:rsid w:val="002045D8"/>
    <w:rsid w:val="002448ED"/>
    <w:rsid w:val="00246546"/>
    <w:rsid w:val="0025758D"/>
    <w:rsid w:val="00271BEB"/>
    <w:rsid w:val="00282DCC"/>
    <w:rsid w:val="00283C9A"/>
    <w:rsid w:val="00293ABD"/>
    <w:rsid w:val="00294AC8"/>
    <w:rsid w:val="00294BFB"/>
    <w:rsid w:val="002B27C8"/>
    <w:rsid w:val="002C656C"/>
    <w:rsid w:val="002C6A97"/>
    <w:rsid w:val="002C7682"/>
    <w:rsid w:val="002D2A87"/>
    <w:rsid w:val="002D4684"/>
    <w:rsid w:val="002E6E33"/>
    <w:rsid w:val="00302677"/>
    <w:rsid w:val="00302F63"/>
    <w:rsid w:val="00305511"/>
    <w:rsid w:val="0031558D"/>
    <w:rsid w:val="003212FC"/>
    <w:rsid w:val="00322AE7"/>
    <w:rsid w:val="0034022F"/>
    <w:rsid w:val="003453D2"/>
    <w:rsid w:val="003605E9"/>
    <w:rsid w:val="003652EB"/>
    <w:rsid w:val="00366CF7"/>
    <w:rsid w:val="00370A62"/>
    <w:rsid w:val="0039544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507C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5F4F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B4F70"/>
    <w:rsid w:val="004C3B97"/>
    <w:rsid w:val="004C7B71"/>
    <w:rsid w:val="004D3AB9"/>
    <w:rsid w:val="004E6E7A"/>
    <w:rsid w:val="004E6FD6"/>
    <w:rsid w:val="004F2398"/>
    <w:rsid w:val="004F3C2E"/>
    <w:rsid w:val="00515A77"/>
    <w:rsid w:val="00516533"/>
    <w:rsid w:val="00527F8E"/>
    <w:rsid w:val="00530D80"/>
    <w:rsid w:val="00544AFF"/>
    <w:rsid w:val="005471D9"/>
    <w:rsid w:val="00547369"/>
    <w:rsid w:val="005501AD"/>
    <w:rsid w:val="00552DF3"/>
    <w:rsid w:val="005535CB"/>
    <w:rsid w:val="00564D70"/>
    <w:rsid w:val="00565A32"/>
    <w:rsid w:val="00571061"/>
    <w:rsid w:val="0057194B"/>
    <w:rsid w:val="00574F1C"/>
    <w:rsid w:val="00574F53"/>
    <w:rsid w:val="005759FE"/>
    <w:rsid w:val="00586180"/>
    <w:rsid w:val="00586957"/>
    <w:rsid w:val="005B4CFC"/>
    <w:rsid w:val="005B727A"/>
    <w:rsid w:val="005B7A36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384F"/>
    <w:rsid w:val="006249D1"/>
    <w:rsid w:val="00630466"/>
    <w:rsid w:val="00630A12"/>
    <w:rsid w:val="00633C7E"/>
    <w:rsid w:val="00640023"/>
    <w:rsid w:val="00641002"/>
    <w:rsid w:val="0064197A"/>
    <w:rsid w:val="0064256B"/>
    <w:rsid w:val="00643493"/>
    <w:rsid w:val="00654BCF"/>
    <w:rsid w:val="00660625"/>
    <w:rsid w:val="006656D2"/>
    <w:rsid w:val="00681FA8"/>
    <w:rsid w:val="006A0095"/>
    <w:rsid w:val="006A3785"/>
    <w:rsid w:val="006A4C25"/>
    <w:rsid w:val="006B1268"/>
    <w:rsid w:val="006C0259"/>
    <w:rsid w:val="006D2958"/>
    <w:rsid w:val="006D2FF4"/>
    <w:rsid w:val="006D40A7"/>
    <w:rsid w:val="006E1AD4"/>
    <w:rsid w:val="006F09E2"/>
    <w:rsid w:val="006F14D7"/>
    <w:rsid w:val="006F3882"/>
    <w:rsid w:val="00700DA8"/>
    <w:rsid w:val="007049AA"/>
    <w:rsid w:val="00717C98"/>
    <w:rsid w:val="00724DEF"/>
    <w:rsid w:val="00725C90"/>
    <w:rsid w:val="007344A4"/>
    <w:rsid w:val="007379C0"/>
    <w:rsid w:val="007416E7"/>
    <w:rsid w:val="007501CA"/>
    <w:rsid w:val="007508C1"/>
    <w:rsid w:val="0076271F"/>
    <w:rsid w:val="00762DA6"/>
    <w:rsid w:val="00773C06"/>
    <w:rsid w:val="00774CC4"/>
    <w:rsid w:val="00781B42"/>
    <w:rsid w:val="007863F8"/>
    <w:rsid w:val="007901E5"/>
    <w:rsid w:val="00790740"/>
    <w:rsid w:val="00790F33"/>
    <w:rsid w:val="00791488"/>
    <w:rsid w:val="00797130"/>
    <w:rsid w:val="007A0F8B"/>
    <w:rsid w:val="007A1003"/>
    <w:rsid w:val="007A6ED0"/>
    <w:rsid w:val="007B78E0"/>
    <w:rsid w:val="007C45B8"/>
    <w:rsid w:val="007C5130"/>
    <w:rsid w:val="007C7D4C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2575"/>
    <w:rsid w:val="00844227"/>
    <w:rsid w:val="00855174"/>
    <w:rsid w:val="00860EDA"/>
    <w:rsid w:val="008742A1"/>
    <w:rsid w:val="008747B5"/>
    <w:rsid w:val="00875F28"/>
    <w:rsid w:val="00876384"/>
    <w:rsid w:val="00892D9D"/>
    <w:rsid w:val="008B0D1B"/>
    <w:rsid w:val="008B3971"/>
    <w:rsid w:val="008C13D2"/>
    <w:rsid w:val="008D0ECF"/>
    <w:rsid w:val="008E2018"/>
    <w:rsid w:val="008F23EE"/>
    <w:rsid w:val="008F3459"/>
    <w:rsid w:val="00904D6E"/>
    <w:rsid w:val="009052F3"/>
    <w:rsid w:val="00905438"/>
    <w:rsid w:val="00911066"/>
    <w:rsid w:val="00913109"/>
    <w:rsid w:val="00925C1C"/>
    <w:rsid w:val="00931433"/>
    <w:rsid w:val="00933205"/>
    <w:rsid w:val="009504F1"/>
    <w:rsid w:val="00954907"/>
    <w:rsid w:val="00955308"/>
    <w:rsid w:val="009556B0"/>
    <w:rsid w:val="00964C2F"/>
    <w:rsid w:val="00965386"/>
    <w:rsid w:val="00974105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0165C"/>
    <w:rsid w:val="00A0437E"/>
    <w:rsid w:val="00A077FB"/>
    <w:rsid w:val="00A11A77"/>
    <w:rsid w:val="00A1282C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90146"/>
    <w:rsid w:val="00A936E1"/>
    <w:rsid w:val="00AA02E3"/>
    <w:rsid w:val="00AA3AA2"/>
    <w:rsid w:val="00AB4F7F"/>
    <w:rsid w:val="00AC1425"/>
    <w:rsid w:val="00AC3CAA"/>
    <w:rsid w:val="00AC689D"/>
    <w:rsid w:val="00AE7055"/>
    <w:rsid w:val="00AF0458"/>
    <w:rsid w:val="00AF1B87"/>
    <w:rsid w:val="00AF1E4C"/>
    <w:rsid w:val="00AF387A"/>
    <w:rsid w:val="00B01532"/>
    <w:rsid w:val="00B10F4D"/>
    <w:rsid w:val="00B119DA"/>
    <w:rsid w:val="00B16197"/>
    <w:rsid w:val="00B1724B"/>
    <w:rsid w:val="00B272B9"/>
    <w:rsid w:val="00B33DDC"/>
    <w:rsid w:val="00B425C0"/>
    <w:rsid w:val="00B43687"/>
    <w:rsid w:val="00B452FB"/>
    <w:rsid w:val="00B46B33"/>
    <w:rsid w:val="00B53BB0"/>
    <w:rsid w:val="00B9474B"/>
    <w:rsid w:val="00B96136"/>
    <w:rsid w:val="00BA48A8"/>
    <w:rsid w:val="00BA7E19"/>
    <w:rsid w:val="00BB505C"/>
    <w:rsid w:val="00BB5DDF"/>
    <w:rsid w:val="00BB5F31"/>
    <w:rsid w:val="00BC3D3E"/>
    <w:rsid w:val="00BC755E"/>
    <w:rsid w:val="00BD0F07"/>
    <w:rsid w:val="00BE1417"/>
    <w:rsid w:val="00BF06B4"/>
    <w:rsid w:val="00BF1E67"/>
    <w:rsid w:val="00C059A6"/>
    <w:rsid w:val="00C122DC"/>
    <w:rsid w:val="00C202D3"/>
    <w:rsid w:val="00C26085"/>
    <w:rsid w:val="00C36E46"/>
    <w:rsid w:val="00C445E8"/>
    <w:rsid w:val="00C54052"/>
    <w:rsid w:val="00C56737"/>
    <w:rsid w:val="00C63DA4"/>
    <w:rsid w:val="00C67F43"/>
    <w:rsid w:val="00C73BA1"/>
    <w:rsid w:val="00C7790D"/>
    <w:rsid w:val="00C80768"/>
    <w:rsid w:val="00C875E1"/>
    <w:rsid w:val="00CB75F4"/>
    <w:rsid w:val="00CC1178"/>
    <w:rsid w:val="00CD3AD3"/>
    <w:rsid w:val="00CE0A6E"/>
    <w:rsid w:val="00CE2C7A"/>
    <w:rsid w:val="00CE3D12"/>
    <w:rsid w:val="00CE7D51"/>
    <w:rsid w:val="00CF2BBB"/>
    <w:rsid w:val="00CF456C"/>
    <w:rsid w:val="00CF5F5C"/>
    <w:rsid w:val="00D105BF"/>
    <w:rsid w:val="00D25AFF"/>
    <w:rsid w:val="00D27ED1"/>
    <w:rsid w:val="00D42B17"/>
    <w:rsid w:val="00D55A69"/>
    <w:rsid w:val="00D82306"/>
    <w:rsid w:val="00D9726D"/>
    <w:rsid w:val="00DA241C"/>
    <w:rsid w:val="00DA2A5E"/>
    <w:rsid w:val="00DA615F"/>
    <w:rsid w:val="00DB0EAA"/>
    <w:rsid w:val="00DB1182"/>
    <w:rsid w:val="00DC465D"/>
    <w:rsid w:val="00DD1BC7"/>
    <w:rsid w:val="00DD404D"/>
    <w:rsid w:val="00DE4AA1"/>
    <w:rsid w:val="00E05D8F"/>
    <w:rsid w:val="00E07784"/>
    <w:rsid w:val="00E16990"/>
    <w:rsid w:val="00E16F67"/>
    <w:rsid w:val="00E17932"/>
    <w:rsid w:val="00E249C0"/>
    <w:rsid w:val="00E31DF8"/>
    <w:rsid w:val="00E47774"/>
    <w:rsid w:val="00E56FF7"/>
    <w:rsid w:val="00E64519"/>
    <w:rsid w:val="00E7097E"/>
    <w:rsid w:val="00E80FA4"/>
    <w:rsid w:val="00E87BA4"/>
    <w:rsid w:val="00EB191F"/>
    <w:rsid w:val="00EB4595"/>
    <w:rsid w:val="00EB616E"/>
    <w:rsid w:val="00EC3595"/>
    <w:rsid w:val="00EC41C4"/>
    <w:rsid w:val="00EF2DE6"/>
    <w:rsid w:val="00EF3964"/>
    <w:rsid w:val="00F01A3E"/>
    <w:rsid w:val="00F029AE"/>
    <w:rsid w:val="00F073B0"/>
    <w:rsid w:val="00F111BD"/>
    <w:rsid w:val="00F12669"/>
    <w:rsid w:val="00F1613A"/>
    <w:rsid w:val="00F250C8"/>
    <w:rsid w:val="00F30CB8"/>
    <w:rsid w:val="00F3503F"/>
    <w:rsid w:val="00F43DD7"/>
    <w:rsid w:val="00F52972"/>
    <w:rsid w:val="00F53E14"/>
    <w:rsid w:val="00F56EB1"/>
    <w:rsid w:val="00F6703B"/>
    <w:rsid w:val="00F750D8"/>
    <w:rsid w:val="00F84DA6"/>
    <w:rsid w:val="00F9202E"/>
    <w:rsid w:val="00FB097A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qFormat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qFormat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67E5-3628-4F94-A068-C9056E50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Daniela Maria Rios Valverde</cp:lastModifiedBy>
  <cp:revision>125</cp:revision>
  <dcterms:created xsi:type="dcterms:W3CDTF">2021-01-11T19:44:00Z</dcterms:created>
  <dcterms:modified xsi:type="dcterms:W3CDTF">2026-01-07T20:28:00Z</dcterms:modified>
</cp:coreProperties>
</file>