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630CC5"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3"/>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C92DEF" w:rsidRDefault="00E56FF7" w:rsidP="00E56FF7">
            <w:pPr>
              <w:tabs>
                <w:tab w:val="left" w:pos="-720"/>
                <w:tab w:val="left" w:pos="0"/>
                <w:tab w:val="left" w:pos="708"/>
              </w:tabs>
              <w:snapToGrid w:val="0"/>
              <w:jc w:val="center"/>
              <w:rPr>
                <w:b/>
                <w:i/>
                <w:color w:val="7030A0"/>
                <w:sz w:val="28"/>
                <w:szCs w:val="28"/>
                <w:lang w:val="es-ES_tradnl"/>
              </w:rPr>
            </w:pPr>
            <w:r w:rsidRPr="00C92DEF">
              <w:rPr>
                <w:b/>
                <w:i/>
                <w:color w:val="7030A0"/>
                <w:sz w:val="28"/>
                <w:szCs w:val="28"/>
                <w:lang w:val="es-ES_tradnl"/>
              </w:rPr>
              <w:t>INFORMES DE ADVERTENCIA</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1039D7">
              <w:rPr>
                <w:rFonts w:ascii="Arial" w:eastAsia="Calibri" w:hAnsi="Arial" w:cs="Arial"/>
                <w:spacing w:val="2"/>
                <w:lang w:val="es-ES_tradnl"/>
              </w:rPr>
              <w:t>C</w:t>
            </w:r>
            <w:proofErr w:type="spellStart"/>
            <w:r w:rsidRPr="001039D7">
              <w:rPr>
                <w:rFonts w:ascii="Arial" w:eastAsia="Calibri" w:hAnsi="Arial" w:cs="Arial"/>
                <w:spacing w:val="2"/>
              </w:rPr>
              <w:t>omplemento</w:t>
            </w:r>
            <w:proofErr w:type="spellEnd"/>
            <w:r w:rsidRPr="001039D7">
              <w:rPr>
                <w:rFonts w:ascii="Arial" w:eastAsia="Calibri" w:hAnsi="Arial" w:cs="Arial"/>
                <w:spacing w:val="2"/>
              </w:rPr>
              <w:t xml:space="preserve"> al informe de Advertencia N° 1196-103-AFJP-2012 (04-12-2012) dirigido a la Corte Plena y que fue objeto de análisis en las reuniones que sostuvo el Consejo Superior, la Comisión del Fondo de Jubilaciones, órganos administrativos y representantes de las Asociaciones Gremiales y sindicales de empleados del Poder Judicial, para analizar de manera conjunta el Título correspondiente a las Jubilaciones y Pensiones Judiciales.  (Título IX)</w:t>
            </w:r>
          </w:p>
        </w:tc>
        <w:tc>
          <w:tcPr>
            <w:tcW w:w="4382" w:type="dxa"/>
          </w:tcPr>
          <w:p w:rsidR="00C173C5" w:rsidRPr="001039D7" w:rsidRDefault="00C173C5" w:rsidP="00C173C5">
            <w:pPr>
              <w:tabs>
                <w:tab w:val="left" w:pos="-720"/>
                <w:tab w:val="left" w:pos="0"/>
                <w:tab w:val="left" w:pos="708"/>
                <w:tab w:val="left" w:pos="1416"/>
              </w:tabs>
              <w:snapToGrid w:val="0"/>
              <w:rPr>
                <w:rFonts w:ascii="Arial" w:eastAsia="Calibri" w:hAnsi="Arial" w:cs="Arial"/>
              </w:rPr>
            </w:pPr>
            <w:r w:rsidRPr="001039D7">
              <w:rPr>
                <w:rFonts w:ascii="Arial" w:eastAsia="Calibri" w:hAnsi="Arial" w:cs="Arial"/>
              </w:rPr>
              <w:t>109-10-AFJP-2013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rPr>
            </w:pPr>
            <w:r w:rsidRPr="001039D7">
              <w:rPr>
                <w:rFonts w:cs="Arial"/>
                <w:szCs w:val="22"/>
              </w:rPr>
              <w:t>1º-02-2013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MX"/>
              </w:rPr>
            </w:pPr>
            <w:r w:rsidRPr="001039D7">
              <w:rPr>
                <w:rFonts w:ascii="Arial" w:eastAsia="Calibri" w:hAnsi="Arial" w:cs="Arial"/>
              </w:rPr>
              <w:t>Advertencia al Juzgado de Familia del Segundo Circuito Judicial de San José, sobre la implementación desde noviembre del 2010, del Centro de Apoyo Familiar, denominado Academias para la Superación Familiar, como una buena práctica certificada por el Banco de Buenas Prácticas del Consejo Superior, a partir del 6 de setiembre del 2011</w:t>
            </w:r>
          </w:p>
        </w:tc>
        <w:tc>
          <w:tcPr>
            <w:tcW w:w="4382" w:type="dxa"/>
          </w:tcPr>
          <w:p w:rsidR="00C173C5" w:rsidRPr="001039D7" w:rsidRDefault="00C173C5" w:rsidP="00C173C5">
            <w:pPr>
              <w:tabs>
                <w:tab w:val="left" w:pos="-720"/>
                <w:tab w:val="left" w:pos="0"/>
                <w:tab w:val="left" w:pos="708"/>
                <w:tab w:val="left" w:pos="1416"/>
              </w:tabs>
              <w:snapToGrid w:val="0"/>
              <w:rPr>
                <w:rFonts w:ascii="Arial" w:eastAsia="Calibri" w:hAnsi="Arial" w:cs="Arial"/>
              </w:rPr>
            </w:pPr>
            <w:r w:rsidRPr="001039D7">
              <w:rPr>
                <w:rFonts w:ascii="Arial" w:eastAsia="Calibri" w:hAnsi="Arial" w:cs="Arial"/>
              </w:rPr>
              <w:t>170-20-AUO-2013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rPr>
            </w:pPr>
            <w:r w:rsidRPr="001039D7">
              <w:rPr>
                <w:rFonts w:cs="Arial"/>
                <w:szCs w:val="22"/>
              </w:rPr>
              <w:t>21-02-2013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1039D7">
              <w:rPr>
                <w:rFonts w:ascii="Arial" w:eastAsia="Calibri" w:hAnsi="Arial" w:cs="Arial"/>
                <w:spacing w:val="2"/>
              </w:rPr>
              <w:t xml:space="preserve">Advertencia a la Proveeduría sobre </w:t>
            </w:r>
            <w:r w:rsidRPr="001039D7">
              <w:rPr>
                <w:rFonts w:ascii="Arial" w:eastAsia="Calibri" w:hAnsi="Arial" w:cs="Arial"/>
                <w:spacing w:val="2"/>
              </w:rPr>
              <w:lastRenderedPageBreak/>
              <w:t xml:space="preserve">adquisición de un audiómetro marca </w:t>
            </w:r>
            <w:proofErr w:type="spellStart"/>
            <w:r w:rsidRPr="001039D7">
              <w:rPr>
                <w:rFonts w:ascii="Arial" w:eastAsia="Calibri" w:hAnsi="Arial" w:cs="Arial"/>
                <w:spacing w:val="2"/>
              </w:rPr>
              <w:t>Madsen</w:t>
            </w:r>
            <w:proofErr w:type="spellEnd"/>
            <w:r w:rsidRPr="001039D7">
              <w:rPr>
                <w:rFonts w:ascii="Arial" w:eastAsia="Calibri" w:hAnsi="Arial" w:cs="Arial"/>
                <w:spacing w:val="2"/>
              </w:rPr>
              <w:t xml:space="preserve"> </w:t>
            </w:r>
            <w:proofErr w:type="spellStart"/>
            <w:r w:rsidRPr="001039D7">
              <w:rPr>
                <w:rFonts w:ascii="Arial" w:eastAsia="Calibri" w:hAnsi="Arial" w:cs="Arial"/>
                <w:spacing w:val="2"/>
              </w:rPr>
              <w:t>Electronics</w:t>
            </w:r>
            <w:proofErr w:type="spellEnd"/>
            <w:r w:rsidRPr="001039D7">
              <w:rPr>
                <w:rFonts w:ascii="Arial" w:eastAsia="Calibri" w:hAnsi="Arial" w:cs="Arial"/>
                <w:spacing w:val="2"/>
              </w:rPr>
              <w:t xml:space="preserve"> </w:t>
            </w:r>
            <w:proofErr w:type="spellStart"/>
            <w:r w:rsidRPr="001039D7">
              <w:rPr>
                <w:rFonts w:ascii="Arial" w:eastAsia="Calibri" w:hAnsi="Arial" w:cs="Arial"/>
                <w:spacing w:val="2"/>
              </w:rPr>
              <w:t>Denmark</w:t>
            </w:r>
            <w:proofErr w:type="spellEnd"/>
            <w:r w:rsidRPr="001039D7">
              <w:rPr>
                <w:rFonts w:ascii="Arial" w:eastAsia="Calibri" w:hAnsi="Arial" w:cs="Arial"/>
                <w:spacing w:val="2"/>
              </w:rPr>
              <w:t>, que el Depto. de Medicina Legal no está utilizando</w:t>
            </w:r>
          </w:p>
        </w:tc>
        <w:tc>
          <w:tcPr>
            <w:tcW w:w="4382" w:type="dxa"/>
          </w:tcPr>
          <w:p w:rsidR="00C173C5" w:rsidRPr="001039D7" w:rsidRDefault="00C173C5" w:rsidP="00C173C5">
            <w:pPr>
              <w:tabs>
                <w:tab w:val="left" w:pos="-720"/>
                <w:tab w:val="left" w:pos="0"/>
                <w:tab w:val="left" w:pos="708"/>
                <w:tab w:val="left" w:pos="1416"/>
              </w:tabs>
              <w:snapToGrid w:val="0"/>
              <w:rPr>
                <w:rFonts w:ascii="Arial" w:eastAsia="Calibri" w:hAnsi="Arial" w:cs="Arial"/>
                <w:lang w:val="es-ES_tradnl"/>
              </w:rPr>
            </w:pPr>
            <w:r w:rsidRPr="001039D7">
              <w:rPr>
                <w:rFonts w:ascii="Arial" w:eastAsia="Calibri" w:hAnsi="Arial" w:cs="Arial"/>
                <w:lang w:val="es-ES_tradnl"/>
              </w:rPr>
              <w:lastRenderedPageBreak/>
              <w:t>497-76-AF-2013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27-05-2013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1039D7">
              <w:rPr>
                <w:rFonts w:ascii="Arial" w:eastAsia="Calibri" w:hAnsi="Arial" w:cs="Arial"/>
                <w:spacing w:val="2"/>
              </w:rPr>
              <w:lastRenderedPageBreak/>
              <w:t>Advertencia sobre Sistema Informático para la Oficina del Depósito de Objetos y  la migración de datos al nuevo sistema</w:t>
            </w:r>
          </w:p>
        </w:tc>
        <w:tc>
          <w:tcPr>
            <w:tcW w:w="4382" w:type="dxa"/>
          </w:tcPr>
          <w:p w:rsidR="00C173C5" w:rsidRPr="001039D7" w:rsidRDefault="00C173C5" w:rsidP="00C173C5">
            <w:pPr>
              <w:tabs>
                <w:tab w:val="left" w:pos="-720"/>
                <w:tab w:val="left" w:pos="0"/>
                <w:tab w:val="left" w:pos="708"/>
                <w:tab w:val="left" w:pos="1416"/>
              </w:tabs>
              <w:snapToGrid w:val="0"/>
              <w:rPr>
                <w:rFonts w:ascii="Arial" w:eastAsia="Calibri" w:hAnsi="Arial" w:cs="Arial"/>
                <w:lang w:val="es-ES_tradnl"/>
              </w:rPr>
            </w:pPr>
            <w:r w:rsidRPr="001039D7">
              <w:rPr>
                <w:rFonts w:ascii="Arial" w:eastAsia="Calibri" w:hAnsi="Arial" w:cs="Arial"/>
                <w:lang w:val="es-ES_tradnl"/>
              </w:rPr>
              <w:t>536-53-AEE-2013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06-06-2013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r w:rsidRPr="001039D7">
              <w:rPr>
                <w:rFonts w:ascii="Arial" w:eastAsia="Calibri" w:hAnsi="Arial" w:cs="Arial"/>
                <w:spacing w:val="2"/>
                <w:lang w:eastAsia="es-ES"/>
              </w:rPr>
              <w:t>Informe de advertencia sobre la evaluación del proceso de Garantía del Sistema de Gestión para el Ministerio Público y Defensa Pública</w:t>
            </w:r>
          </w:p>
        </w:tc>
        <w:tc>
          <w:tcPr>
            <w:tcW w:w="4382" w:type="dxa"/>
          </w:tcPr>
          <w:p w:rsidR="00C173C5" w:rsidRPr="001039D7" w:rsidRDefault="00C173C5" w:rsidP="00C173C5">
            <w:pPr>
              <w:tabs>
                <w:tab w:val="left" w:pos="-720"/>
                <w:tab w:val="left" w:pos="0"/>
                <w:tab w:val="left" w:pos="708"/>
                <w:tab w:val="left" w:pos="1416"/>
              </w:tabs>
              <w:snapToGrid w:val="0"/>
              <w:rPr>
                <w:rFonts w:ascii="Arial" w:eastAsia="Calibri" w:hAnsi="Arial" w:cs="Arial"/>
                <w:lang w:val="es-ES_tradnl"/>
              </w:rPr>
            </w:pPr>
            <w:r w:rsidRPr="001039D7">
              <w:rPr>
                <w:rFonts w:ascii="Arial" w:eastAsia="Calibri" w:hAnsi="Arial" w:cs="Arial"/>
                <w:lang w:val="es-ES_tradnl"/>
              </w:rPr>
              <w:t xml:space="preserve">581-47-ATI-2013 </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17-06-2013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 xml:space="preserve">Informe de advertencia sobre </w:t>
            </w:r>
            <w:r w:rsidRPr="001039D7">
              <w:rPr>
                <w:rFonts w:ascii="Arial" w:hAnsi="Arial" w:cs="Arial"/>
                <w:spacing w:val="2"/>
              </w:rPr>
              <w:t>análisis del proyecto de “Reglamento para el Reconocimiento de Tiempo Servido”</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rPr>
            </w:pPr>
            <w:r w:rsidRPr="001039D7">
              <w:rPr>
                <w:rFonts w:ascii="Arial" w:hAnsi="Arial" w:cs="Arial"/>
              </w:rPr>
              <w:t>896-78-</w:t>
            </w:r>
            <w:r w:rsidRPr="001039D7">
              <w:rPr>
                <w:rFonts w:ascii="Arial" w:eastAsia="Arial Unicode MS" w:hAnsi="Arial" w:cs="Arial"/>
              </w:rPr>
              <w:t>AFJP-2013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rPr>
            </w:pPr>
            <w:r w:rsidRPr="001039D7">
              <w:rPr>
                <w:rFonts w:cs="Arial"/>
                <w:szCs w:val="22"/>
              </w:rPr>
              <w:t>06-09-2013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 xml:space="preserve">Advertencia sobre el </w:t>
            </w:r>
            <w:r w:rsidRPr="001039D7">
              <w:rPr>
                <w:rFonts w:ascii="Arial" w:hAnsi="Arial" w:cs="Arial"/>
                <w:spacing w:val="2"/>
              </w:rPr>
              <w:t>análisis a la política de inversiones propuesta por la Dirección Ejecutiva y aprobada por Corte Plena, en la sesión N° 30-13, celebrada el 8 de julio del 2013, artículo XX</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rPr>
            </w:pPr>
            <w:r w:rsidRPr="001039D7">
              <w:rPr>
                <w:rFonts w:ascii="Arial" w:hAnsi="Arial" w:cs="Arial"/>
              </w:rPr>
              <w:t>920-74-AFJP-2013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rPr>
            </w:pPr>
            <w:r w:rsidRPr="001039D7">
              <w:rPr>
                <w:rFonts w:cs="Arial"/>
                <w:szCs w:val="22"/>
              </w:rPr>
              <w:t>18-09-2013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spacing w:val="2"/>
              </w:rPr>
              <w:t>Informe de Advertencia sobre Reglamento de Reconocimiento de Tiempo Servido</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rPr>
            </w:pPr>
            <w:r w:rsidRPr="001039D7">
              <w:rPr>
                <w:rFonts w:ascii="Arial" w:hAnsi="Arial" w:cs="Arial"/>
              </w:rPr>
              <w:t>954-78-AFJP-2013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rPr>
            </w:pPr>
            <w:r w:rsidRPr="001039D7">
              <w:rPr>
                <w:rFonts w:cs="Arial"/>
                <w:szCs w:val="22"/>
              </w:rPr>
              <w:t>24-09-2013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rPr>
              <w:t>Necesidad de implementar medidas de control en el  ingreso al sótano de Edificio de Tribunales de Goicoechea (Segundo Circuito), en donde se encuentran ubicadas las  celdas  de privados de libertad que maneja la Sección de Cárceles, Transportes y Citaciones del Organismo de Investigación Judicial</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680-114-AF-2013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08-07-2013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 xml:space="preserve">Informe de advertencia sobre pago de </w:t>
            </w:r>
            <w:r w:rsidRPr="001039D7">
              <w:rPr>
                <w:rFonts w:ascii="Arial" w:hAnsi="Arial" w:cs="Arial"/>
                <w:lang w:val="es-ES_tradnl"/>
              </w:rPr>
              <w:lastRenderedPageBreak/>
              <w:t>kilometraje en la Administración de San Carlos</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lastRenderedPageBreak/>
              <w:t>957-188-AF-2013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24-09-2013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MX"/>
              </w:rPr>
            </w:pPr>
            <w:r w:rsidRPr="001039D7">
              <w:rPr>
                <w:rFonts w:ascii="Arial" w:hAnsi="Arial" w:cs="Arial"/>
                <w:lang w:val="es-MX"/>
              </w:rPr>
              <w:lastRenderedPageBreak/>
              <w:t>Informe de advertencia sobre el plazo de entrega de reactivos en la Sección de Bioquímica del Depto. de Ciencias Forenses</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960-181-AF-2013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24-09-2013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 xml:space="preserve">Informe de advertencia a la Escuela Judicial sobre omisión de firmas en contratos de adiestramiento </w:t>
            </w:r>
            <w:r w:rsidRPr="001039D7">
              <w:rPr>
                <w:rFonts w:ascii="Arial" w:hAnsi="Arial" w:cs="Arial"/>
                <w:spacing w:val="2"/>
              </w:rPr>
              <w:t>del Programa Formación Inicial Aspirantes a Judicatura (FIAJ)</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988-190-AF-2013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26-09-2013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spacing w:val="2"/>
              </w:rPr>
              <w:t>Advertencia a raíz del estudio “Contratos de adiestramiento para actividades de capacitación que suscribe el Poder Judicial“, el cual tiene como objetivo el determinar si los diversos contratos de adiestramiento suscritos entre el Poder Judicial y sus funcionarios (as) se ejecutan de conformidad con la normativa que rige este tipo de actividad. (contratos FIAJ)</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1062-195-AF-2013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09-10-2013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Advertencia sobre Plataforma Tecnológica basada en NICSP (Normas Internacionales de Contabilidad del Sector Público)</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1293-233-AF-2013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25-11-2013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lang w:val="es-ES_tradnl"/>
              </w:rPr>
              <w:t xml:space="preserve">Advertencia </w:t>
            </w:r>
            <w:r w:rsidRPr="001039D7">
              <w:rPr>
                <w:rFonts w:ascii="Arial" w:hAnsi="Arial" w:cs="Arial"/>
              </w:rPr>
              <w:t xml:space="preserve">señalando algunas oportunidades de mejora detectadas en el desarrollo del Sistema de Información para el Depósito de Objetos Decomisados, el cual fue recomendado en el informe de esta Auditoría N° 906-97-AEE-2011, del 7 de julio del 2011, </w:t>
            </w:r>
            <w:r w:rsidRPr="001039D7">
              <w:rPr>
                <w:rFonts w:ascii="Arial" w:hAnsi="Arial" w:cs="Arial"/>
              </w:rPr>
              <w:lastRenderedPageBreak/>
              <w:t>denominado “</w:t>
            </w:r>
            <w:r w:rsidRPr="001039D7">
              <w:rPr>
                <w:rFonts w:ascii="Arial" w:hAnsi="Arial" w:cs="Arial"/>
                <w:i/>
              </w:rPr>
              <w:t>Estudio del Sistema de Control interno en el Depósito de Objetos Decomisados”</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lastRenderedPageBreak/>
              <w:t>719-61-AEE-2013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19-07-2013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spacing w:val="2"/>
              </w:rPr>
              <w:lastRenderedPageBreak/>
              <w:t>Informe de advertencia a la Dirección del OIJ sobre la digitalización del “Libro de recolección de indicios F N°421”</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1233-137-AEE-2013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14-11-2013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rPr>
              <w:t xml:space="preserve">Informe de advertencia a Corte sobre construcción de Tribunales en </w:t>
            </w:r>
            <w:proofErr w:type="spellStart"/>
            <w:r w:rsidRPr="001039D7">
              <w:rPr>
                <w:rFonts w:ascii="Arial" w:hAnsi="Arial" w:cs="Arial"/>
              </w:rPr>
              <w:t>Jicaral</w:t>
            </w:r>
            <w:proofErr w:type="spellEnd"/>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rPr>
              <w:t>1079-37-UJ-2013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rPr>
              <w:t>14-10-2013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spacing w:val="2"/>
                <w:lang w:eastAsia="es-ES"/>
              </w:rPr>
            </w:pPr>
            <w:r w:rsidRPr="001039D7">
              <w:rPr>
                <w:rFonts w:ascii="Arial" w:hAnsi="Arial" w:cs="Arial"/>
                <w:spacing w:val="2"/>
                <w:lang w:val="es-ES_tradnl"/>
              </w:rPr>
              <w:t>En</w:t>
            </w:r>
            <w:r w:rsidRPr="001039D7">
              <w:rPr>
                <w:rFonts w:ascii="Arial" w:hAnsi="Arial" w:cs="Arial"/>
                <w:spacing w:val="2"/>
              </w:rPr>
              <w:t xml:space="preserve"> qué medida el Poder Judicial, se prepara para descontinuar el uso del producto Office 2003, con motivo de la no actualización de esta herramienta por parte de la empresa Microsoft</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1363-94-ATI-2013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12-12-2013</w:t>
            </w:r>
          </w:p>
        </w:tc>
      </w:tr>
      <w:tr w:rsidR="00C173C5" w:rsidTr="00E56FF7">
        <w:tc>
          <w:tcPr>
            <w:tcW w:w="4382" w:type="dxa"/>
          </w:tcPr>
          <w:p w:rsidR="00C173C5" w:rsidRPr="001039D7" w:rsidRDefault="00C173C5" w:rsidP="00C173C5">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1039D7">
              <w:rPr>
                <w:rFonts w:ascii="Arial" w:hAnsi="Arial" w:cs="Arial"/>
                <w:spacing w:val="2"/>
              </w:rPr>
              <w:t>Evaluación de la preparación del Poder Judicial para el cambio mundial hacia las comunicaciones IPv6</w:t>
            </w:r>
          </w:p>
        </w:tc>
        <w:tc>
          <w:tcPr>
            <w:tcW w:w="4382" w:type="dxa"/>
          </w:tcPr>
          <w:p w:rsidR="00C173C5" w:rsidRPr="001039D7" w:rsidRDefault="00C173C5" w:rsidP="00C173C5">
            <w:pPr>
              <w:tabs>
                <w:tab w:val="left" w:pos="-720"/>
                <w:tab w:val="left" w:pos="0"/>
                <w:tab w:val="left" w:pos="708"/>
                <w:tab w:val="left" w:pos="1416"/>
              </w:tabs>
              <w:snapToGrid w:val="0"/>
              <w:rPr>
                <w:rFonts w:ascii="Arial" w:hAnsi="Arial" w:cs="Arial"/>
                <w:lang w:val="es-ES_tradnl"/>
              </w:rPr>
            </w:pPr>
            <w:r w:rsidRPr="001039D7">
              <w:rPr>
                <w:rFonts w:ascii="Arial" w:hAnsi="Arial" w:cs="Arial"/>
                <w:lang w:val="es-ES_tradnl"/>
              </w:rPr>
              <w:t>1367-97-ATI-2013</w:t>
            </w:r>
          </w:p>
        </w:tc>
        <w:tc>
          <w:tcPr>
            <w:tcW w:w="4382" w:type="dxa"/>
          </w:tcPr>
          <w:p w:rsidR="00C173C5" w:rsidRPr="001039D7" w:rsidRDefault="00C173C5" w:rsidP="00C173C5">
            <w:pPr>
              <w:pStyle w:val="Piedepgina"/>
              <w:tabs>
                <w:tab w:val="clear" w:pos="4252"/>
                <w:tab w:val="clear" w:pos="8504"/>
                <w:tab w:val="left" w:pos="-720"/>
                <w:tab w:val="left" w:pos="0"/>
                <w:tab w:val="left" w:pos="708"/>
              </w:tabs>
              <w:snapToGrid w:val="0"/>
              <w:rPr>
                <w:rFonts w:cs="Arial"/>
                <w:szCs w:val="22"/>
                <w:lang w:val="es-ES_tradnl"/>
              </w:rPr>
            </w:pPr>
            <w:r w:rsidRPr="001039D7">
              <w:rPr>
                <w:rFonts w:cs="Arial"/>
                <w:szCs w:val="22"/>
                <w:lang w:val="es-ES_tradnl"/>
              </w:rPr>
              <w:t>12-12-2013</w:t>
            </w:r>
          </w:p>
        </w:tc>
      </w:tr>
      <w:tr w:rsidR="00C173C5" w:rsidTr="00E56FF7">
        <w:tc>
          <w:tcPr>
            <w:tcW w:w="4382" w:type="dxa"/>
          </w:tcPr>
          <w:p w:rsidR="00C173C5" w:rsidRPr="000A32CC" w:rsidRDefault="00C173C5" w:rsidP="00E56FF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p>
        </w:tc>
        <w:tc>
          <w:tcPr>
            <w:tcW w:w="4382" w:type="dxa"/>
          </w:tcPr>
          <w:p w:rsidR="00C173C5" w:rsidRPr="000A32CC" w:rsidRDefault="00C173C5" w:rsidP="00E56FF7">
            <w:pPr>
              <w:tabs>
                <w:tab w:val="left" w:pos="-720"/>
                <w:tab w:val="left" w:pos="0"/>
                <w:tab w:val="left" w:pos="708"/>
                <w:tab w:val="left" w:pos="1416"/>
              </w:tabs>
              <w:snapToGrid w:val="0"/>
              <w:rPr>
                <w:rFonts w:ascii="Arial" w:eastAsia="Calibri" w:hAnsi="Arial" w:cs="Arial"/>
              </w:rPr>
            </w:pPr>
          </w:p>
        </w:tc>
        <w:tc>
          <w:tcPr>
            <w:tcW w:w="4382" w:type="dxa"/>
          </w:tcPr>
          <w:p w:rsidR="00C173C5" w:rsidRPr="000A32CC" w:rsidRDefault="00C173C5" w:rsidP="00E56FF7">
            <w:pPr>
              <w:pStyle w:val="Piedepgina"/>
              <w:tabs>
                <w:tab w:val="clear" w:pos="4252"/>
                <w:tab w:val="clear" w:pos="8504"/>
                <w:tab w:val="left" w:pos="-720"/>
                <w:tab w:val="left" w:pos="0"/>
                <w:tab w:val="left" w:pos="708"/>
              </w:tabs>
              <w:snapToGrid w:val="0"/>
              <w:rPr>
                <w:rFonts w:cs="Arial"/>
                <w:szCs w:val="22"/>
              </w:rPr>
            </w:pPr>
          </w:p>
        </w:tc>
      </w:tr>
      <w:tr w:rsidR="00C173C5" w:rsidTr="00E56FF7">
        <w:tc>
          <w:tcPr>
            <w:tcW w:w="4382" w:type="dxa"/>
          </w:tcPr>
          <w:p w:rsidR="00C173C5" w:rsidRPr="000A32CC" w:rsidRDefault="00C173C5" w:rsidP="00E56FF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p>
        </w:tc>
        <w:tc>
          <w:tcPr>
            <w:tcW w:w="4382" w:type="dxa"/>
          </w:tcPr>
          <w:p w:rsidR="00C173C5" w:rsidRPr="000A32CC" w:rsidRDefault="00C173C5" w:rsidP="00E56FF7">
            <w:pPr>
              <w:tabs>
                <w:tab w:val="left" w:pos="-720"/>
                <w:tab w:val="left" w:pos="0"/>
                <w:tab w:val="left" w:pos="708"/>
                <w:tab w:val="left" w:pos="1416"/>
              </w:tabs>
              <w:snapToGrid w:val="0"/>
              <w:rPr>
                <w:rFonts w:ascii="Arial" w:eastAsia="Calibri" w:hAnsi="Arial" w:cs="Arial"/>
              </w:rPr>
            </w:pPr>
          </w:p>
        </w:tc>
        <w:tc>
          <w:tcPr>
            <w:tcW w:w="4382" w:type="dxa"/>
          </w:tcPr>
          <w:p w:rsidR="00C173C5" w:rsidRPr="000A32CC" w:rsidRDefault="00C173C5" w:rsidP="00E56FF7">
            <w:pPr>
              <w:pStyle w:val="Piedepgina"/>
              <w:tabs>
                <w:tab w:val="clear" w:pos="4252"/>
                <w:tab w:val="clear" w:pos="8504"/>
                <w:tab w:val="left" w:pos="-720"/>
                <w:tab w:val="left" w:pos="0"/>
                <w:tab w:val="left" w:pos="708"/>
              </w:tabs>
              <w:snapToGrid w:val="0"/>
              <w:rPr>
                <w:rFonts w:cs="Arial"/>
                <w:szCs w:val="22"/>
              </w:rPr>
            </w:pPr>
          </w:p>
        </w:tc>
      </w:tr>
      <w:tr w:rsidR="00C173C5" w:rsidTr="00E56FF7">
        <w:tc>
          <w:tcPr>
            <w:tcW w:w="4382" w:type="dxa"/>
          </w:tcPr>
          <w:p w:rsidR="00C173C5" w:rsidRPr="000A32CC" w:rsidRDefault="00C173C5" w:rsidP="00E56FF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p>
        </w:tc>
        <w:tc>
          <w:tcPr>
            <w:tcW w:w="4382" w:type="dxa"/>
          </w:tcPr>
          <w:p w:rsidR="00C173C5" w:rsidRPr="000A32CC" w:rsidRDefault="00C173C5" w:rsidP="00E56FF7">
            <w:pPr>
              <w:tabs>
                <w:tab w:val="left" w:pos="-720"/>
                <w:tab w:val="left" w:pos="0"/>
                <w:tab w:val="left" w:pos="708"/>
                <w:tab w:val="left" w:pos="1416"/>
              </w:tabs>
              <w:snapToGrid w:val="0"/>
              <w:rPr>
                <w:rFonts w:ascii="Arial" w:eastAsia="Calibri" w:hAnsi="Arial" w:cs="Arial"/>
              </w:rPr>
            </w:pPr>
          </w:p>
        </w:tc>
        <w:tc>
          <w:tcPr>
            <w:tcW w:w="4382" w:type="dxa"/>
          </w:tcPr>
          <w:p w:rsidR="00C173C5" w:rsidRPr="000A32CC" w:rsidRDefault="00C173C5" w:rsidP="00E56FF7">
            <w:pPr>
              <w:pStyle w:val="Piedepgina"/>
              <w:tabs>
                <w:tab w:val="clear" w:pos="4252"/>
                <w:tab w:val="clear" w:pos="8504"/>
                <w:tab w:val="left" w:pos="-720"/>
                <w:tab w:val="left" w:pos="0"/>
                <w:tab w:val="left" w:pos="708"/>
              </w:tabs>
              <w:snapToGrid w:val="0"/>
              <w:rPr>
                <w:rFonts w:cs="Arial"/>
                <w:szCs w:val="22"/>
              </w:rPr>
            </w:pPr>
          </w:p>
        </w:tc>
      </w:tr>
      <w:tr w:rsidR="00C173C5" w:rsidTr="00E56FF7">
        <w:tc>
          <w:tcPr>
            <w:tcW w:w="4382" w:type="dxa"/>
          </w:tcPr>
          <w:p w:rsidR="00C173C5" w:rsidRPr="000A32CC" w:rsidRDefault="00C173C5" w:rsidP="00E56FF7">
            <w:pPr>
              <w:tabs>
                <w:tab w:val="left" w:pos="-720"/>
                <w:tab w:val="left" w:pos="0"/>
                <w:tab w:val="left" w:pos="708"/>
                <w:tab w:val="left" w:pos="1416"/>
                <w:tab w:val="left" w:pos="2124"/>
                <w:tab w:val="left" w:pos="2832"/>
                <w:tab w:val="left" w:pos="3540"/>
                <w:tab w:val="left" w:pos="4248"/>
              </w:tabs>
              <w:snapToGrid w:val="0"/>
              <w:rPr>
                <w:rFonts w:ascii="Arial" w:eastAsia="Calibri" w:hAnsi="Arial" w:cs="Arial"/>
                <w:lang w:val="es-ES_tradnl"/>
              </w:rPr>
            </w:pPr>
          </w:p>
        </w:tc>
        <w:tc>
          <w:tcPr>
            <w:tcW w:w="4382" w:type="dxa"/>
          </w:tcPr>
          <w:p w:rsidR="00C173C5" w:rsidRPr="000A32CC" w:rsidRDefault="00C173C5" w:rsidP="00E56FF7">
            <w:pPr>
              <w:tabs>
                <w:tab w:val="left" w:pos="-720"/>
                <w:tab w:val="left" w:pos="0"/>
                <w:tab w:val="left" w:pos="708"/>
                <w:tab w:val="left" w:pos="1416"/>
              </w:tabs>
              <w:snapToGrid w:val="0"/>
              <w:rPr>
                <w:rFonts w:ascii="Arial" w:eastAsia="Calibri" w:hAnsi="Arial" w:cs="Arial"/>
              </w:rPr>
            </w:pPr>
          </w:p>
        </w:tc>
        <w:tc>
          <w:tcPr>
            <w:tcW w:w="4382" w:type="dxa"/>
          </w:tcPr>
          <w:p w:rsidR="00C173C5" w:rsidRPr="000A32CC" w:rsidRDefault="00C173C5" w:rsidP="00E56FF7">
            <w:pPr>
              <w:pStyle w:val="Piedepgina"/>
              <w:tabs>
                <w:tab w:val="clear" w:pos="4252"/>
                <w:tab w:val="clear" w:pos="8504"/>
                <w:tab w:val="left" w:pos="-720"/>
                <w:tab w:val="left" w:pos="0"/>
                <w:tab w:val="left" w:pos="708"/>
              </w:tabs>
              <w:snapToGrid w:val="0"/>
              <w:rPr>
                <w:rFonts w:cs="Arial"/>
                <w:szCs w:val="22"/>
              </w:rPr>
            </w:pPr>
          </w:p>
        </w:tc>
      </w:tr>
    </w:tbl>
    <w:p w:rsidR="00E56FF7" w:rsidRDefault="00E56FF7" w:rsidP="00955308"/>
    <w:p w:rsidR="00E56FF7" w:rsidRDefault="00E56FF7" w:rsidP="00955308"/>
    <w:p w:rsidR="00E56FF7" w:rsidRDefault="00E56FF7" w:rsidP="00955308"/>
    <w:p w:rsidR="00E56FF7" w:rsidRDefault="00E56FF7" w:rsidP="00955308"/>
    <w:p w:rsidR="00E56FF7" w:rsidRDefault="00E56FF7" w:rsidP="00955308"/>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2B9"/>
    <w:rsid w:val="000A32CC"/>
    <w:rsid w:val="000C13FC"/>
    <w:rsid w:val="00132787"/>
    <w:rsid w:val="001B1107"/>
    <w:rsid w:val="001B2203"/>
    <w:rsid w:val="002045D8"/>
    <w:rsid w:val="002B27C8"/>
    <w:rsid w:val="003A2BA1"/>
    <w:rsid w:val="003E27FD"/>
    <w:rsid w:val="003E2D59"/>
    <w:rsid w:val="00455C6E"/>
    <w:rsid w:val="004932B9"/>
    <w:rsid w:val="004E0597"/>
    <w:rsid w:val="00515A77"/>
    <w:rsid w:val="005D357A"/>
    <w:rsid w:val="00630CC5"/>
    <w:rsid w:val="00892D9D"/>
    <w:rsid w:val="00955308"/>
    <w:rsid w:val="00965386"/>
    <w:rsid w:val="009D3256"/>
    <w:rsid w:val="009F2B15"/>
    <w:rsid w:val="00A30B4F"/>
    <w:rsid w:val="00AA02E3"/>
    <w:rsid w:val="00AC3CAA"/>
    <w:rsid w:val="00BD0F07"/>
    <w:rsid w:val="00C173C5"/>
    <w:rsid w:val="00C92DEF"/>
    <w:rsid w:val="00CF2BBB"/>
    <w:rsid w:val="00E07784"/>
    <w:rsid w:val="00E32EEE"/>
    <w:rsid w:val="00E56FF7"/>
    <w:rsid w:val="00F01A3E"/>
    <w:rsid w:val="00F750D8"/>
    <w:rsid w:val="00FD5356"/>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C941F-0958-47C6-AFC9-17242AE6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4</cp:revision>
  <dcterms:created xsi:type="dcterms:W3CDTF">2018-06-06T13:41:00Z</dcterms:created>
  <dcterms:modified xsi:type="dcterms:W3CDTF">2018-06-06T21:51:00Z</dcterms:modified>
</cp:coreProperties>
</file>