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15" w:rsidRDefault="003D6B9A" w:rsidP="00955308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16.4pt;margin-top:0;width:416.4pt;height:29.4pt;z-index:251660288;mso-position-horizontal:absolute;mso-position-horizontal-relative:text;mso-position-vertical-relative:text" fillcolor="#369" stroked="f">
            <v:shadow on="t" color="#b2b2b2" opacity="52429f" offset="3pt"/>
            <v:textpath style="font-family:&quot;Times New Roman&quot;;v-text-kern:t" trim="t" fitpath="t" string="Informes de  Auditoría 2012"/>
            <w10:wrap type="square" side="left"/>
          </v:shape>
        </w:pict>
      </w:r>
      <w:r w:rsidR="00955308">
        <w:br w:type="textWrapping" w:clear="all"/>
      </w:r>
    </w:p>
    <w:tbl>
      <w:tblPr>
        <w:tblStyle w:val="Tablaconcuadrcula"/>
        <w:tblW w:w="0" w:type="auto"/>
        <w:tblLook w:val="04A0"/>
      </w:tblPr>
      <w:tblGrid>
        <w:gridCol w:w="13146"/>
      </w:tblGrid>
      <w:tr w:rsidR="000C13FC" w:rsidTr="000C13FC">
        <w:tc>
          <w:tcPr>
            <w:tcW w:w="13146" w:type="dxa"/>
          </w:tcPr>
          <w:p w:rsidR="000C13FC" w:rsidRPr="00455C6E" w:rsidRDefault="000C13FC" w:rsidP="00955308">
            <w:pPr>
              <w:rPr>
                <w:rFonts w:ascii="Comic Sans MS" w:hAnsi="Comic Sans MS"/>
                <w:sz w:val="28"/>
                <w:szCs w:val="28"/>
              </w:rPr>
            </w:pPr>
            <w:r w:rsidRPr="00455C6E">
              <w:rPr>
                <w:rFonts w:ascii="Comic Sans MS" w:hAnsi="Comic Sans MS"/>
                <w:sz w:val="28"/>
                <w:szCs w:val="28"/>
              </w:rPr>
              <w:t xml:space="preserve">NOTA: Si necesita algún informe, favor solicitarlo a la siguiente dirección: </w:t>
            </w:r>
            <w:hyperlink r:id="rId5" w:history="1">
              <w:r w:rsidRPr="00455C6E">
                <w:rPr>
                  <w:rStyle w:val="Hipervnculo"/>
                  <w:rFonts w:ascii="Comic Sans MS" w:hAnsi="Comic Sans MS"/>
                  <w:sz w:val="28"/>
                  <w:szCs w:val="28"/>
                </w:rPr>
                <w:t>auditoria@poder-judicial.go.cr</w:t>
              </w:r>
            </w:hyperlink>
            <w:r w:rsidRPr="00455C6E">
              <w:rPr>
                <w:rFonts w:ascii="Comic Sans MS" w:hAnsi="Comic Sans MS"/>
                <w:sz w:val="28"/>
                <w:szCs w:val="28"/>
              </w:rPr>
              <w:t xml:space="preserve">  y con mucho gusto se le facilitará. </w:t>
            </w:r>
          </w:p>
        </w:tc>
      </w:tr>
    </w:tbl>
    <w:p w:rsidR="000C13FC" w:rsidRDefault="000C13FC" w:rsidP="00955308"/>
    <w:tbl>
      <w:tblPr>
        <w:tblStyle w:val="Tablaconcuadrcula"/>
        <w:tblW w:w="13146" w:type="dxa"/>
        <w:tblLook w:val="04A0"/>
      </w:tblPr>
      <w:tblGrid>
        <w:gridCol w:w="4382"/>
        <w:gridCol w:w="4382"/>
        <w:gridCol w:w="4382"/>
      </w:tblGrid>
      <w:tr w:rsidR="00E56FF7" w:rsidTr="00E56FF7">
        <w:trPr>
          <w:tblHeader/>
        </w:trPr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Descripción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Nº Informe</w:t>
            </w:r>
          </w:p>
        </w:tc>
        <w:tc>
          <w:tcPr>
            <w:tcW w:w="4382" w:type="dxa"/>
          </w:tcPr>
          <w:p w:rsidR="00E56FF7" w:rsidRPr="00FD4A35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</w:pPr>
            <w:r w:rsidRPr="00FD4A35">
              <w:rPr>
                <w:rFonts w:ascii="Baskerville Old Face" w:hAnsi="Baskerville Old Face"/>
                <w:b/>
                <w:i/>
                <w:sz w:val="28"/>
                <w:szCs w:val="28"/>
                <w:lang w:val="es-ES_tradnl"/>
              </w:rPr>
              <w:t>Fecha de informe</w:t>
            </w:r>
          </w:p>
        </w:tc>
      </w:tr>
      <w:tr w:rsidR="00E56FF7" w:rsidTr="008E746C">
        <w:trPr>
          <w:tblHeader/>
        </w:trPr>
        <w:tc>
          <w:tcPr>
            <w:tcW w:w="13146" w:type="dxa"/>
            <w:gridSpan w:val="3"/>
          </w:tcPr>
          <w:p w:rsidR="00E56FF7" w:rsidRPr="00A92490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jc w:val="center"/>
              <w:rPr>
                <w:b/>
                <w:i/>
                <w:color w:val="7030A0"/>
                <w:sz w:val="28"/>
                <w:szCs w:val="28"/>
                <w:lang w:val="es-ES_tradnl"/>
              </w:rPr>
            </w:pPr>
            <w:r w:rsidRPr="00A92490">
              <w:rPr>
                <w:b/>
                <w:i/>
                <w:color w:val="7030A0"/>
                <w:sz w:val="28"/>
                <w:szCs w:val="28"/>
                <w:lang w:val="es-ES_tradnl"/>
              </w:rPr>
              <w:t>INFORMES DE ADVERTENCIA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Advertencia a la Proveeduría sobre </w:t>
            </w:r>
            <w:r w:rsidRPr="000A32CC">
              <w:rPr>
                <w:rFonts w:ascii="Arial" w:eastAsia="Calibri" w:hAnsi="Arial" w:cs="Arial"/>
                <w:spacing w:val="2"/>
              </w:rPr>
              <w:t xml:space="preserve">Compra de vehículos de diferentes tipos para el Organismo de Investigación Judicial.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95-07-AF-2012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02-02-2012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E</w:t>
            </w:r>
            <w:proofErr w:type="spellStart"/>
            <w:r w:rsidRPr="000A32CC">
              <w:rPr>
                <w:rFonts w:ascii="Arial" w:eastAsia="Calibri" w:hAnsi="Arial" w:cs="Arial"/>
              </w:rPr>
              <w:t>studio</w:t>
            </w:r>
            <w:proofErr w:type="spellEnd"/>
            <w:r w:rsidRPr="000A32CC">
              <w:rPr>
                <w:rFonts w:ascii="Arial" w:eastAsia="Calibri" w:hAnsi="Arial" w:cs="Arial"/>
              </w:rPr>
              <w:t xml:space="preserve"> relacionado con la póliza de Riesgos del Trabajo No. 76756, suscrita por el Poder Judicial con el Instituto Nacional de Seguros (INS).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470-46-AF-2012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23-05-2012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Advertencia a la Administración de la Ciudad Judicial de San Joaquín de Flores, con respecto a la reparación de la tercera laguna de oxidación.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796-102-AF-2012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23-08-2012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spacing w:val="2"/>
              </w:rPr>
              <w:t>Advertencia de la sentencia N° 561-2011 del 7 de julio del 2011, emitida por la Sala Segunda de la Corte Suprema de Justicia, referente a un caso de reajuste de jubilación, el cual tiene como objetivo analizar la razonabilidad del reconocimiento otorgado en dicha sentencia.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t>180-12-AFJP-2012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24-02-2012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spacing w:val="2"/>
              </w:rPr>
              <w:t xml:space="preserve">Advertencia sobre la ejecución de la sentencia N° 561-2011 del 7 de julio del </w:t>
            </w:r>
            <w:r w:rsidRPr="000A32CC">
              <w:rPr>
                <w:rFonts w:ascii="Arial" w:eastAsia="Calibri" w:hAnsi="Arial" w:cs="Arial"/>
                <w:spacing w:val="2"/>
              </w:rPr>
              <w:lastRenderedPageBreak/>
              <w:t xml:space="preserve">2011, referente a un caso de reajuste de jubilación. 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lastRenderedPageBreak/>
              <w:t>218-20-AFPJP-2012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06-03-2012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lastRenderedPageBreak/>
              <w:t xml:space="preserve">Advertencia sobre </w:t>
            </w:r>
            <w:r w:rsidRPr="000A32CC">
              <w:rPr>
                <w:rFonts w:ascii="Arial" w:eastAsia="Calibri" w:hAnsi="Arial" w:cs="Arial"/>
              </w:rPr>
              <w:t>cuenta “</w:t>
            </w:r>
            <w:r w:rsidRPr="000A32CC">
              <w:rPr>
                <w:rFonts w:ascii="Arial" w:eastAsia="Calibri" w:hAnsi="Arial" w:cs="Arial"/>
                <w:i/>
              </w:rPr>
              <w:t>Provisión para pensiones en curso de pago</w:t>
            </w:r>
            <w:r w:rsidRPr="000A32CC">
              <w:rPr>
                <w:rFonts w:ascii="Arial" w:eastAsia="Calibri" w:hAnsi="Arial" w:cs="Arial"/>
              </w:rPr>
              <w:t>”.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t>699-65-AFJP-2012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27-07-2012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spacing w:val="2"/>
              </w:rPr>
              <w:t xml:space="preserve">Advertencia relacionada con el análisis del Informe de Valuación Actuarial del Fondo de Jubilaciones y Pensiones, con corte al 31 de diciembre del 2011, desarrollado por la firma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Melinsky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 xml:space="preserve">,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Pellegrinelli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 xml:space="preserve"> y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Asoc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>.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t>829-80-AFJP-2012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24-08-2012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Advertencia sobre inventario de bienes en el Departamento de Artes Gráficas. 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377-28-AEE-2012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27-04-2012</w:t>
            </w:r>
          </w:p>
        </w:tc>
      </w:tr>
      <w:tr w:rsidR="00E56FF7" w:rsidTr="00E56FF7">
        <w:tc>
          <w:tcPr>
            <w:tcW w:w="4382" w:type="dxa"/>
          </w:tcPr>
          <w:p w:rsidR="00E56FF7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Advertencia sobre Técnicos Radiólogos.</w:t>
            </w:r>
          </w:p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t>501-51-AUO-2012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31-05-2012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MX"/>
              </w:rPr>
              <w:t xml:space="preserve">Advertencia sobre el Contrato N° 149-CG-85 correspondiente al “Servicio de Médico Radiólogo Consultor” </w:t>
            </w:r>
            <w:r w:rsidRPr="000A32CC">
              <w:rPr>
                <w:rFonts w:ascii="Arial" w:eastAsia="Calibri" w:hAnsi="Arial" w:cs="Arial"/>
                <w:b/>
                <w:i/>
                <w:lang w:val="es-MX"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1033-144-AF-2012 *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19-10-2012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MX"/>
              </w:rPr>
            </w:pPr>
            <w:r w:rsidRPr="000A32CC">
              <w:rPr>
                <w:rFonts w:ascii="Arial" w:eastAsia="Calibri" w:hAnsi="Arial" w:cs="Arial"/>
                <w:spacing w:val="2"/>
              </w:rPr>
              <w:t xml:space="preserve">Advertencia sobre los fondos que maneja la Oficina de Atención y Protección de Víctimas de Delito (OAPVD), con respecto a doble ayuda económica a usuarios </w:t>
            </w:r>
            <w:r w:rsidRPr="000A32CC">
              <w:rPr>
                <w:rFonts w:ascii="Arial" w:eastAsia="Calibri" w:hAnsi="Arial" w:cs="Arial"/>
                <w:b/>
                <w:i/>
                <w:spacing w:val="2"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1115-151-AF-2012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13-11-2012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Informe de advertencia sobre monto de caja chica asignado al BID </w:t>
            </w:r>
            <w:r w:rsidRPr="000A32CC">
              <w:rPr>
                <w:rFonts w:ascii="Arial" w:eastAsia="Calibri" w:hAnsi="Arial" w:cs="Arial"/>
                <w:b/>
                <w:i/>
                <w:lang w:val="es-ES_tradnl"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1149-154-AF-2012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22-11-2012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spacing w:val="2"/>
              </w:rPr>
              <w:t xml:space="preserve">Advertencia relacionada con el estudio respecto a la “Evaluación sobre el manejo de los recursos de la Caja Chica asignada a la Escuela Judicial” </w:t>
            </w:r>
            <w:r w:rsidRPr="000A32CC">
              <w:rPr>
                <w:rFonts w:ascii="Arial" w:eastAsia="Calibri" w:hAnsi="Arial" w:cs="Arial"/>
                <w:b/>
                <w:i/>
                <w:spacing w:val="2"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>1230-186-AF-2012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  <w:lang w:val="es-ES_tradnl"/>
              </w:rPr>
            </w:pPr>
            <w:r w:rsidRPr="000A32CC">
              <w:rPr>
                <w:rFonts w:cs="Arial"/>
                <w:szCs w:val="22"/>
                <w:lang w:val="es-ES_tradnl"/>
              </w:rPr>
              <w:t>19-12-2012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t xml:space="preserve">Advertencia sobre </w:t>
            </w:r>
            <w:r w:rsidRPr="000A32CC">
              <w:rPr>
                <w:rFonts w:ascii="Arial" w:eastAsia="Calibri" w:hAnsi="Arial" w:cs="Arial"/>
                <w:spacing w:val="2"/>
              </w:rPr>
              <w:t xml:space="preserve">contenido del estudio actuarial del Fondo de Jubilaciones y Pensiones (FJP), desarrollado por la </w:t>
            </w:r>
            <w:r w:rsidRPr="000A32CC">
              <w:rPr>
                <w:rFonts w:ascii="Arial" w:eastAsia="Calibri" w:hAnsi="Arial" w:cs="Arial"/>
                <w:spacing w:val="2"/>
              </w:rPr>
              <w:lastRenderedPageBreak/>
              <w:t xml:space="preserve">firma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Melinsky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 xml:space="preserve">,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Pellegrinelli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 xml:space="preserve"> y </w:t>
            </w:r>
            <w:proofErr w:type="spellStart"/>
            <w:r w:rsidRPr="000A32CC">
              <w:rPr>
                <w:rFonts w:ascii="Arial" w:eastAsia="Calibri" w:hAnsi="Arial" w:cs="Arial"/>
                <w:spacing w:val="2"/>
              </w:rPr>
              <w:t>Asoc</w:t>
            </w:r>
            <w:proofErr w:type="spellEnd"/>
            <w:r w:rsidRPr="000A32CC">
              <w:rPr>
                <w:rFonts w:ascii="Arial" w:eastAsia="Calibri" w:hAnsi="Arial" w:cs="Arial"/>
                <w:spacing w:val="2"/>
              </w:rPr>
              <w:t xml:space="preserve">. </w:t>
            </w:r>
            <w:r w:rsidRPr="000A32CC">
              <w:rPr>
                <w:rFonts w:ascii="Arial" w:eastAsia="Calibri" w:hAnsi="Arial" w:cs="Arial"/>
                <w:b/>
                <w:spacing w:val="2"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lastRenderedPageBreak/>
              <w:t>976-86-AFJP-2012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08-10-2012</w:t>
            </w:r>
          </w:p>
        </w:tc>
      </w:tr>
      <w:tr w:rsidR="00E56FF7" w:rsidTr="00E56FF7"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napToGrid w:val="0"/>
              <w:rPr>
                <w:rFonts w:ascii="Arial" w:eastAsia="Calibri" w:hAnsi="Arial" w:cs="Arial"/>
                <w:lang w:val="es-ES_tradnl"/>
              </w:rPr>
            </w:pPr>
            <w:r w:rsidRPr="000A32CC">
              <w:rPr>
                <w:rFonts w:ascii="Arial" w:eastAsia="Calibri" w:hAnsi="Arial" w:cs="Arial"/>
                <w:lang w:val="es-ES_tradnl"/>
              </w:rPr>
              <w:lastRenderedPageBreak/>
              <w:t xml:space="preserve">Advertencia sobre el </w:t>
            </w:r>
            <w:r w:rsidRPr="000A32CC">
              <w:rPr>
                <w:rFonts w:ascii="Arial" w:eastAsia="Calibri" w:hAnsi="Arial" w:cs="Arial"/>
                <w:spacing w:val="2"/>
              </w:rPr>
              <w:t xml:space="preserve">proyecto de reforma a la Ley Orgánica del Poder Judicial, el cual tiene como objetivo </w:t>
            </w:r>
            <w:r w:rsidRPr="000A32CC">
              <w:rPr>
                <w:rFonts w:ascii="Arial" w:eastAsia="Calibri" w:hAnsi="Arial" w:cs="Arial"/>
              </w:rPr>
              <w:t xml:space="preserve"> evaluar la propuesta de modificación a la Ley Orgánica del Poder Judicial (LOPJ), en lo que respecta al Fondo de Jubilaciones y Pensiones </w:t>
            </w:r>
            <w:r w:rsidRPr="000A32CC">
              <w:rPr>
                <w:rFonts w:ascii="Arial" w:eastAsia="Calibri" w:hAnsi="Arial" w:cs="Arial"/>
                <w:b/>
              </w:rPr>
              <w:t>TM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tabs>
                <w:tab w:val="left" w:pos="-720"/>
                <w:tab w:val="left" w:pos="0"/>
                <w:tab w:val="left" w:pos="708"/>
                <w:tab w:val="left" w:pos="1416"/>
              </w:tabs>
              <w:snapToGrid w:val="0"/>
              <w:rPr>
                <w:rFonts w:ascii="Arial" w:eastAsia="Calibri" w:hAnsi="Arial" w:cs="Arial"/>
              </w:rPr>
            </w:pPr>
            <w:r w:rsidRPr="000A32CC">
              <w:rPr>
                <w:rFonts w:ascii="Arial" w:eastAsia="Calibri" w:hAnsi="Arial" w:cs="Arial"/>
              </w:rPr>
              <w:t>1196-103-AFJP-2012</w:t>
            </w:r>
          </w:p>
        </w:tc>
        <w:tc>
          <w:tcPr>
            <w:tcW w:w="4382" w:type="dxa"/>
          </w:tcPr>
          <w:p w:rsidR="00E56FF7" w:rsidRPr="000A32CC" w:rsidRDefault="00E56FF7" w:rsidP="00E56FF7">
            <w:pPr>
              <w:pStyle w:val="Piedepgina"/>
              <w:tabs>
                <w:tab w:val="clear" w:pos="4252"/>
                <w:tab w:val="clear" w:pos="8504"/>
                <w:tab w:val="left" w:pos="-720"/>
                <w:tab w:val="left" w:pos="0"/>
                <w:tab w:val="left" w:pos="708"/>
              </w:tabs>
              <w:snapToGrid w:val="0"/>
              <w:rPr>
                <w:rFonts w:cs="Arial"/>
                <w:szCs w:val="22"/>
              </w:rPr>
            </w:pPr>
            <w:r w:rsidRPr="000A32CC">
              <w:rPr>
                <w:rFonts w:cs="Arial"/>
                <w:szCs w:val="22"/>
              </w:rPr>
              <w:t>04-12-2012</w:t>
            </w:r>
          </w:p>
        </w:tc>
      </w:tr>
    </w:tbl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E56FF7" w:rsidRDefault="00E56FF7" w:rsidP="00955308"/>
    <w:p w:rsidR="004932B9" w:rsidRDefault="004932B9"/>
    <w:sectPr w:rsidR="004932B9" w:rsidSect="004932B9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2B9"/>
    <w:rsid w:val="000A32CC"/>
    <w:rsid w:val="000C13FC"/>
    <w:rsid w:val="00132787"/>
    <w:rsid w:val="001B2203"/>
    <w:rsid w:val="002045D8"/>
    <w:rsid w:val="002B27C8"/>
    <w:rsid w:val="003A2BA1"/>
    <w:rsid w:val="003D6B9A"/>
    <w:rsid w:val="003E27FD"/>
    <w:rsid w:val="003E2D59"/>
    <w:rsid w:val="00455C6E"/>
    <w:rsid w:val="004932B9"/>
    <w:rsid w:val="00515A77"/>
    <w:rsid w:val="005D357A"/>
    <w:rsid w:val="00892D9D"/>
    <w:rsid w:val="00955308"/>
    <w:rsid w:val="00965386"/>
    <w:rsid w:val="009D3256"/>
    <w:rsid w:val="009F2B15"/>
    <w:rsid w:val="00A30B4F"/>
    <w:rsid w:val="00A92490"/>
    <w:rsid w:val="00AA02E3"/>
    <w:rsid w:val="00AC3CAA"/>
    <w:rsid w:val="00BD0F07"/>
    <w:rsid w:val="00CF2BBB"/>
    <w:rsid w:val="00E07784"/>
    <w:rsid w:val="00E56FF7"/>
    <w:rsid w:val="00F01A3E"/>
    <w:rsid w:val="00F750D8"/>
    <w:rsid w:val="00FD5356"/>
    <w:rsid w:val="00FE7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3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750D8"/>
    <w:pPr>
      <w:tabs>
        <w:tab w:val="center" w:pos="4252"/>
        <w:tab w:val="right" w:pos="8504"/>
      </w:tabs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val="es-ES" w:eastAsia="ar-SA"/>
    </w:rPr>
  </w:style>
  <w:style w:type="character" w:customStyle="1" w:styleId="PiedepginaCar">
    <w:name w:val="Pie de página Car"/>
    <w:basedOn w:val="Fuentedeprrafopredeter"/>
    <w:link w:val="Piedepgina"/>
    <w:rsid w:val="00F750D8"/>
    <w:rPr>
      <w:rFonts w:ascii="Arial" w:eastAsia="Times New Roman" w:hAnsi="Arial" w:cs="Times New Roman"/>
      <w:szCs w:val="20"/>
      <w:lang w:val="es-ES" w:eastAsia="ar-SA"/>
    </w:rPr>
  </w:style>
  <w:style w:type="character" w:styleId="Hipervnculo">
    <w:name w:val="Hyperlink"/>
    <w:basedOn w:val="Fuentedeprrafopredeter"/>
    <w:rsid w:val="000C13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uditoria@poder-judicial.go.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ADE9F8-52A8-4B76-99FA-8E89A8B2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Rodriguez Salas</dc:creator>
  <cp:lastModifiedBy>ycardenas</cp:lastModifiedBy>
  <cp:revision>3</cp:revision>
  <dcterms:created xsi:type="dcterms:W3CDTF">2018-06-06T13:39:00Z</dcterms:created>
  <dcterms:modified xsi:type="dcterms:W3CDTF">2018-06-06T21:51:00Z</dcterms:modified>
</cp:coreProperties>
</file>